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AD42E" w14:textId="77777777">
      <w:pPr>
        <w:spacing w:after="40"/>
        <w:jc w:val="center"/>
      </w:pPr>
      <w:r>
        <w:rPr>
          <w:b/>
          <w:bCs/>
          <w:sz w:val="34"/>
          <w:szCs w:val="34"/>
        </w:rPr>
        <w:t>Priyanshu Bhattacharya</w:t>
      </w:r>
    </w:p>
    <w:p w14:paraId="438AE431" w14:textId="77777777">
      <w:pPr>
        <w:spacing w:after="140"/>
        <w:jc w:val="center"/>
      </w:pPr>
      <w:r>
        <w:rPr>
          <w:b/>
          <w:bCs/>
          <w:spacing w:val="10"/>
          <w:sz w:val="22"/>
          <w:szCs w:val="22"/>
        </w:rPr>
        <w:t>CASE EVIDENCE</w:t>
      </w:r>
    </w:p>
    <w:p w14:paraId="426112D4" w14:textId="77777777">
      <w:pPr>
        <w:pBdr>
          <w:bottom w:val="single" w:sz="10" w:space="6" w:color="000000"/>
        </w:pBdr>
        <w:spacing w:after="200"/>
        <w:jc w:val="center"/>
      </w:pPr>
      <w:r>
        <w:rPr>
          <w:sz w:val="4"/>
          <w:szCs w:val="4"/>
        </w:rPr>
        <w:t xml:space="preserve"> </w:t>
      </w:r>
    </w:p>
    <w:p w14:paraId="211C1F7E" w14:textId="77777777">
      <w:pPr>
        <w:spacing w:after="200" w:line="264" w:lineRule="auto"/>
      </w:pPr>
      <w:r>
        <w:rPr>
          <w:color w:val="555555"/>
          <w:sz w:val="18"/>
          <w:szCs w:val="18"/>
        </w:rPr>
        <w:t>Selected cases showing how I have evaluated technology businesses, challenged management assumptions, shaped investment and acquisition decisions, worked with senior executives on growth and business-model change, and structured capital or M&amp;A around the underlying economics.</w:t>
      </w:r>
    </w:p>
    <w:p w14:paraId="4EF0DB65" w14:textId="112B8B62">
      <w:pPr>
        <w:pBdr>
          <w:bottom w:val="single" w:sz="8" w:space="4" w:color="000000"/>
        </w:pBdr>
        <w:spacing w:before="340" w:after="160"/>
      </w:pPr>
      <w:r>
        <w:rPr>
          <w:b/>
          <w:bCs/>
          <w:spacing w:val="6"/>
          <w:sz w:val="22"/>
          <w:szCs w:val="22"/>
        </w:rPr>
        <w:t>ROLE REQUIREMENTS AND SUPPORTING CASES</w:t>
      </w:r>
    </w:p>
    <w:tbl>
      <w:tblPr>
        <w:tblW w:w="10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58"/>
        <w:gridCol w:w="2458"/>
        <w:gridCol w:w="5324"/>
      </w:tblGrid>
      <w:tr w14:paraId="3859F072" w14:textId="77777777">
        <w:trPr>
          <w:tblHeader/>
        </w:trPr>
        <w:tc>
          <w:tcPr>
            <w:tcW w:w="2458" w:type="dxa"/>
            <w:tcBorders>
              <w:top w:val="single" w:sz="3" w:space="0" w:color="999999"/>
              <w:left w:val="none" w:sz="0" w:space="0" w:color="FFFFFF"/>
              <w:bottom w:val="single" w:sz="3" w:space="0" w:color="999999"/>
              <w:right w:val="none" w:sz="0" w:space="0" w:color="FFFFFF"/>
            </w:tcBorders>
            <w:shd w:val="clear" w:color="auto" w:fill="EDEDED"/>
            <w:tcMar>
              <w:top w:w="100" w:type="dxa"/>
              <w:left w:w="120" w:type="dxa"/>
              <w:bottom w:w="100" w:type="dxa"/>
              <w:right w:w="120" w:type="dxa"/>
            </w:tcMar>
          </w:tcPr>
          <w:p w14:paraId="091D9B7E" w14:textId="77777777">
            <w:r>
              <w:rPr>
                <w:b/>
                <w:bCs/>
                <w:sz w:val="17"/>
                <w:szCs w:val="17"/>
              </w:rPr>
              <w:t>Requirement</w:t>
            </w:r>
          </w:p>
        </w:tc>
        <w:tc>
          <w:tcPr>
            <w:tcW w:w="2458" w:type="dxa"/>
            <w:tcBorders>
              <w:top w:val="single" w:sz="3" w:space="0" w:color="999999"/>
              <w:left w:val="none" w:sz="0" w:space="0" w:color="FFFFFF"/>
              <w:bottom w:val="single" w:sz="3" w:space="0" w:color="999999"/>
              <w:right w:val="none" w:sz="0" w:space="0" w:color="FFFFFF"/>
            </w:tcBorders>
            <w:shd w:val="clear" w:color="auto" w:fill="EDEDED"/>
            <w:tcMar>
              <w:top w:w="100" w:type="dxa"/>
              <w:left w:w="120" w:type="dxa"/>
              <w:bottom w:w="100" w:type="dxa"/>
              <w:right w:w="120" w:type="dxa"/>
            </w:tcMar>
          </w:tcPr>
          <w:p w14:paraId="4FE2F688" w14:textId="77777777">
            <w:r>
              <w:rPr>
                <w:b/>
                <w:bCs/>
                <w:sz w:val="17"/>
                <w:szCs w:val="17"/>
              </w:rPr>
              <w:t>Strongest cases</w:t>
            </w:r>
          </w:p>
        </w:tc>
        <w:tc>
          <w:tcPr>
            <w:tcW w:w="5325" w:type="dxa"/>
            <w:tcBorders>
              <w:top w:val="single" w:sz="3" w:space="0" w:color="999999"/>
              <w:left w:val="none" w:sz="0" w:space="0" w:color="FFFFFF"/>
              <w:bottom w:val="single" w:sz="3" w:space="0" w:color="999999"/>
              <w:right w:val="none" w:sz="0" w:space="0" w:color="FFFFFF"/>
            </w:tcBorders>
            <w:shd w:val="clear" w:color="auto" w:fill="EDEDED"/>
            <w:tcMar>
              <w:top w:w="100" w:type="dxa"/>
              <w:left w:w="120" w:type="dxa"/>
              <w:bottom w:w="100" w:type="dxa"/>
              <w:right w:w="120" w:type="dxa"/>
            </w:tcMar>
          </w:tcPr>
          <w:p w14:paraId="51189D5E" w14:textId="77777777">
            <w:r>
              <w:rPr>
                <w:b/>
                <w:bCs/>
                <w:sz w:val="17"/>
                <w:szCs w:val="17"/>
              </w:rPr>
              <w:t>What the evidence shows</w:t>
            </w:r>
          </w:p>
        </w:tc>
      </w:tr>
      <w:tr w14:paraId="3779580E" w14:textId="77777777">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6D6A2253" w14:textId="77777777">
            <w:r>
              <w:rPr>
                <w:b/>
                <w:bCs/>
                <w:sz w:val="17"/>
                <w:szCs w:val="17"/>
              </w:rPr>
              <w:t>Market sizing / competitive analysis</w:t>
            </w:r>
          </w:p>
        </w:tc>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1BB3ACFC" w14:textId="77777777">
            <w:proofErr w:type="spellStart"/>
            <w:r>
              <w:rPr>
                <w:sz w:val="17"/>
                <w:szCs w:val="17"/>
              </w:rPr>
              <w:t>Cognitec</w:t>
            </w:r>
            <w:proofErr w:type="spellEnd"/>
            <w:r>
              <w:rPr>
                <w:sz w:val="17"/>
                <w:szCs w:val="17"/>
              </w:rPr>
              <w:t xml:space="preserve">; BSH; </w:t>
            </w:r>
            <w:proofErr w:type="spellStart"/>
            <w:r>
              <w:rPr>
                <w:sz w:val="17"/>
                <w:szCs w:val="17"/>
              </w:rPr>
              <w:t>Leadec</w:t>
            </w:r>
            <w:proofErr w:type="spellEnd"/>
          </w:p>
        </w:tc>
        <w:tc>
          <w:tcPr>
            <w:tcW w:w="5325"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57000980" w14:textId="77777777">
            <w:r>
              <w:rPr>
                <w:sz w:val="17"/>
                <w:szCs w:val="17"/>
              </w:rPr>
              <w:t>Market attractiveness, target universes, strategic adjacencies</w:t>
            </w:r>
          </w:p>
        </w:tc>
      </w:tr>
      <w:tr w14:paraId="6AB2C190" w14:textId="77777777">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4533E1C9" w14:textId="77777777">
            <w:r>
              <w:rPr>
                <w:b/>
                <w:bCs/>
                <w:sz w:val="17"/>
                <w:szCs w:val="17"/>
              </w:rPr>
              <w:t>Financial modelling / valuation</w:t>
            </w:r>
          </w:p>
        </w:tc>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7269A78B" w14:textId="77777777">
            <w:proofErr w:type="spellStart"/>
            <w:r>
              <w:rPr>
                <w:sz w:val="17"/>
                <w:szCs w:val="17"/>
              </w:rPr>
              <w:t>Univers</w:t>
            </w:r>
            <w:proofErr w:type="spellEnd"/>
            <w:r>
              <w:rPr>
                <w:sz w:val="17"/>
                <w:szCs w:val="17"/>
              </w:rPr>
              <w:t xml:space="preserve">; </w:t>
            </w:r>
            <w:proofErr w:type="spellStart"/>
            <w:r>
              <w:rPr>
                <w:sz w:val="17"/>
                <w:szCs w:val="17"/>
              </w:rPr>
              <w:t>Netwrix</w:t>
            </w:r>
            <w:proofErr w:type="spellEnd"/>
            <w:r>
              <w:rPr>
                <w:sz w:val="17"/>
                <w:szCs w:val="17"/>
              </w:rPr>
              <w:t xml:space="preserve">; </w:t>
            </w:r>
            <w:proofErr w:type="spellStart"/>
            <w:r>
              <w:rPr>
                <w:sz w:val="17"/>
                <w:szCs w:val="17"/>
              </w:rPr>
              <w:t>tado</w:t>
            </w:r>
            <w:proofErr w:type="spellEnd"/>
            <w:r>
              <w:rPr>
                <w:sz w:val="17"/>
                <w:szCs w:val="17"/>
              </w:rPr>
              <w:t xml:space="preserve">°; </w:t>
            </w:r>
            <w:proofErr w:type="spellStart"/>
            <w:r>
              <w:rPr>
                <w:sz w:val="17"/>
                <w:szCs w:val="17"/>
              </w:rPr>
              <w:t>Exasol</w:t>
            </w:r>
            <w:proofErr w:type="spellEnd"/>
          </w:p>
        </w:tc>
        <w:tc>
          <w:tcPr>
            <w:tcW w:w="5325"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5A4D834B" w14:textId="77777777">
            <w:r>
              <w:rPr>
                <w:sz w:val="17"/>
                <w:szCs w:val="17"/>
              </w:rPr>
              <w:t>Operating models, cash flow, capital requirements and valuation</w:t>
            </w:r>
          </w:p>
        </w:tc>
      </w:tr>
      <w:tr w14:paraId="395A0499" w14:textId="77777777">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66B8B20A" w14:textId="77777777">
            <w:r>
              <w:rPr>
                <w:b/>
                <w:bCs/>
                <w:sz w:val="17"/>
                <w:szCs w:val="17"/>
              </w:rPr>
              <w:t>Commercial / financial diligence</w:t>
            </w:r>
          </w:p>
        </w:tc>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569305B8" w14:textId="77777777">
            <w:proofErr w:type="spellStart"/>
            <w:r>
              <w:rPr>
                <w:sz w:val="17"/>
                <w:szCs w:val="17"/>
              </w:rPr>
              <w:t>Univers</w:t>
            </w:r>
            <w:proofErr w:type="spellEnd"/>
            <w:r>
              <w:rPr>
                <w:sz w:val="17"/>
                <w:szCs w:val="17"/>
              </w:rPr>
              <w:t xml:space="preserve">; </w:t>
            </w:r>
            <w:proofErr w:type="spellStart"/>
            <w:r>
              <w:rPr>
                <w:sz w:val="17"/>
                <w:szCs w:val="17"/>
              </w:rPr>
              <w:t>Netwrix</w:t>
            </w:r>
            <w:proofErr w:type="spellEnd"/>
            <w:r>
              <w:rPr>
                <w:sz w:val="17"/>
                <w:szCs w:val="17"/>
              </w:rPr>
              <w:t xml:space="preserve">; </w:t>
            </w:r>
            <w:proofErr w:type="spellStart"/>
            <w:r>
              <w:rPr>
                <w:sz w:val="17"/>
                <w:szCs w:val="17"/>
              </w:rPr>
              <w:t>Cognitec</w:t>
            </w:r>
            <w:proofErr w:type="spellEnd"/>
          </w:p>
        </w:tc>
        <w:tc>
          <w:tcPr>
            <w:tcW w:w="5325"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614F46BF" w14:textId="77777777">
            <w:r>
              <w:rPr>
                <w:sz w:val="17"/>
                <w:szCs w:val="17"/>
              </w:rPr>
              <w:t>Revenue quality, margins, concentration, assumptions and downside</w:t>
            </w:r>
          </w:p>
        </w:tc>
      </w:tr>
      <w:tr w14:paraId="394C33B2" w14:textId="77777777">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4D6F3B0C" w14:textId="77777777">
            <w:r>
              <w:rPr>
                <w:b/>
                <w:bCs/>
                <w:sz w:val="17"/>
                <w:szCs w:val="17"/>
              </w:rPr>
              <w:t>Challenge assumptions</w:t>
            </w:r>
          </w:p>
        </w:tc>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3F39108E" w14:textId="77777777">
            <w:proofErr w:type="spellStart"/>
            <w:r>
              <w:rPr>
                <w:sz w:val="17"/>
                <w:szCs w:val="17"/>
              </w:rPr>
              <w:t>Univers</w:t>
            </w:r>
            <w:proofErr w:type="spellEnd"/>
            <w:r>
              <w:rPr>
                <w:sz w:val="17"/>
                <w:szCs w:val="17"/>
              </w:rPr>
              <w:t xml:space="preserve">; </w:t>
            </w:r>
            <w:proofErr w:type="spellStart"/>
            <w:r>
              <w:rPr>
                <w:sz w:val="17"/>
                <w:szCs w:val="17"/>
              </w:rPr>
              <w:t>Netwrix</w:t>
            </w:r>
            <w:proofErr w:type="spellEnd"/>
            <w:r>
              <w:rPr>
                <w:sz w:val="17"/>
                <w:szCs w:val="17"/>
              </w:rPr>
              <w:t>; Board advisory case</w:t>
            </w:r>
          </w:p>
        </w:tc>
        <w:tc>
          <w:tcPr>
            <w:tcW w:w="5325"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0B3CDF39" w14:textId="77777777">
            <w:r>
              <w:rPr>
                <w:sz w:val="17"/>
                <w:szCs w:val="17"/>
              </w:rPr>
              <w:t>Management plans, valuation narratives and structural versus cyclical weakness</w:t>
            </w:r>
          </w:p>
        </w:tc>
      </w:tr>
      <w:tr w14:paraId="121800A7" w14:textId="77777777">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3B681106" w14:textId="77777777">
            <w:r>
              <w:rPr>
                <w:b/>
                <w:bCs/>
                <w:sz w:val="17"/>
                <w:szCs w:val="17"/>
              </w:rPr>
              <w:t>Scenario / sensitivity analysis</w:t>
            </w:r>
          </w:p>
        </w:tc>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2261F975" w14:textId="77777777">
            <w:proofErr w:type="spellStart"/>
            <w:r>
              <w:rPr>
                <w:sz w:val="17"/>
                <w:szCs w:val="17"/>
              </w:rPr>
              <w:t>Univers</w:t>
            </w:r>
            <w:proofErr w:type="spellEnd"/>
            <w:r>
              <w:rPr>
                <w:sz w:val="17"/>
                <w:szCs w:val="17"/>
              </w:rPr>
              <w:t xml:space="preserve">; </w:t>
            </w:r>
            <w:proofErr w:type="spellStart"/>
            <w:r>
              <w:rPr>
                <w:sz w:val="17"/>
                <w:szCs w:val="17"/>
              </w:rPr>
              <w:t>Netwrix</w:t>
            </w:r>
            <w:proofErr w:type="spellEnd"/>
          </w:p>
        </w:tc>
        <w:tc>
          <w:tcPr>
            <w:tcW w:w="5325"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23ABD506" w14:textId="77777777">
            <w:r>
              <w:rPr>
                <w:sz w:val="17"/>
                <w:szCs w:val="17"/>
              </w:rPr>
              <w:t>Base, upside and downside cases; risk-adjusted decisions</w:t>
            </w:r>
          </w:p>
        </w:tc>
      </w:tr>
      <w:tr w14:paraId="0704D761" w14:textId="77777777">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3DDDC65C" w14:textId="77777777">
            <w:r>
              <w:rPr>
                <w:b/>
                <w:bCs/>
                <w:sz w:val="17"/>
                <w:szCs w:val="17"/>
              </w:rPr>
              <w:t>Investment recommendations / committees</w:t>
            </w:r>
          </w:p>
        </w:tc>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000F7A0A" w14:textId="77777777">
            <w:proofErr w:type="spellStart"/>
            <w:r>
              <w:rPr>
                <w:sz w:val="17"/>
                <w:szCs w:val="17"/>
              </w:rPr>
              <w:t>Univers</w:t>
            </w:r>
            <w:proofErr w:type="spellEnd"/>
            <w:r>
              <w:rPr>
                <w:sz w:val="17"/>
                <w:szCs w:val="17"/>
              </w:rPr>
              <w:t xml:space="preserve">; </w:t>
            </w:r>
            <w:proofErr w:type="spellStart"/>
            <w:r>
              <w:rPr>
                <w:sz w:val="17"/>
                <w:szCs w:val="17"/>
              </w:rPr>
              <w:t>Netwrix</w:t>
            </w:r>
            <w:proofErr w:type="spellEnd"/>
            <w:r>
              <w:rPr>
                <w:sz w:val="17"/>
                <w:szCs w:val="17"/>
              </w:rPr>
              <w:t xml:space="preserve">; BSH; </w:t>
            </w:r>
            <w:proofErr w:type="spellStart"/>
            <w:r>
              <w:rPr>
                <w:sz w:val="17"/>
                <w:szCs w:val="17"/>
              </w:rPr>
              <w:t>Leadec</w:t>
            </w:r>
            <w:proofErr w:type="spellEnd"/>
          </w:p>
        </w:tc>
        <w:tc>
          <w:tcPr>
            <w:tcW w:w="5325"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6CC9711A" w14:textId="77777777">
            <w:r>
              <w:rPr>
                <w:sz w:val="17"/>
                <w:szCs w:val="17"/>
              </w:rPr>
              <w:t>Analysis translated into senior decision materials and recommendations</w:t>
            </w:r>
          </w:p>
        </w:tc>
      </w:tr>
      <w:tr w14:paraId="7F9A4D16" w14:textId="77777777">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5FC758C3" w14:textId="77777777">
            <w:r>
              <w:rPr>
                <w:b/>
                <w:bCs/>
                <w:sz w:val="17"/>
                <w:szCs w:val="17"/>
              </w:rPr>
              <w:t>Recurring-revenue dynamics</w:t>
            </w:r>
          </w:p>
        </w:tc>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7DA51757" w14:textId="77777777">
            <w:proofErr w:type="spellStart"/>
            <w:r>
              <w:rPr>
                <w:sz w:val="17"/>
                <w:szCs w:val="17"/>
              </w:rPr>
              <w:t>Univers</w:t>
            </w:r>
            <w:proofErr w:type="spellEnd"/>
            <w:r>
              <w:rPr>
                <w:sz w:val="17"/>
                <w:szCs w:val="17"/>
              </w:rPr>
              <w:t xml:space="preserve">; </w:t>
            </w:r>
            <w:proofErr w:type="spellStart"/>
            <w:r>
              <w:rPr>
                <w:sz w:val="17"/>
                <w:szCs w:val="17"/>
              </w:rPr>
              <w:t>tado</w:t>
            </w:r>
            <w:proofErr w:type="spellEnd"/>
            <w:r>
              <w:rPr>
                <w:sz w:val="17"/>
                <w:szCs w:val="17"/>
              </w:rPr>
              <w:t xml:space="preserve">°; </w:t>
            </w:r>
            <w:proofErr w:type="spellStart"/>
            <w:r>
              <w:rPr>
                <w:sz w:val="17"/>
                <w:szCs w:val="17"/>
              </w:rPr>
              <w:t>Cognitec</w:t>
            </w:r>
            <w:proofErr w:type="spellEnd"/>
            <w:r>
              <w:rPr>
                <w:sz w:val="17"/>
                <w:szCs w:val="17"/>
              </w:rPr>
              <w:t xml:space="preserve">; </w:t>
            </w:r>
            <w:proofErr w:type="spellStart"/>
            <w:r>
              <w:rPr>
                <w:sz w:val="17"/>
                <w:szCs w:val="17"/>
              </w:rPr>
              <w:t>Exasol</w:t>
            </w:r>
            <w:proofErr w:type="spellEnd"/>
          </w:p>
        </w:tc>
        <w:tc>
          <w:tcPr>
            <w:tcW w:w="5325"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417D5107" w14:textId="77777777">
            <w:r>
              <w:rPr>
                <w:sz w:val="17"/>
                <w:szCs w:val="17"/>
              </w:rPr>
              <w:t>Revenue quality, scalability and one-time versus recurring economics</w:t>
            </w:r>
          </w:p>
        </w:tc>
      </w:tr>
      <w:tr w14:paraId="61E4F87D" w14:textId="77777777">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5D8C3323" w14:textId="77777777">
            <w:r>
              <w:rPr>
                <w:b/>
                <w:bCs/>
                <w:sz w:val="17"/>
                <w:szCs w:val="17"/>
              </w:rPr>
              <w:t>Business-model innovation</w:t>
            </w:r>
          </w:p>
        </w:tc>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6692A027" w14:textId="77777777">
            <w:proofErr w:type="spellStart"/>
            <w:r>
              <w:rPr>
                <w:sz w:val="17"/>
                <w:szCs w:val="17"/>
              </w:rPr>
              <w:t>QiO</w:t>
            </w:r>
            <w:proofErr w:type="spellEnd"/>
            <w:r>
              <w:rPr>
                <w:sz w:val="17"/>
                <w:szCs w:val="17"/>
              </w:rPr>
              <w:t xml:space="preserve">; </w:t>
            </w:r>
            <w:proofErr w:type="spellStart"/>
            <w:r>
              <w:rPr>
                <w:sz w:val="17"/>
                <w:szCs w:val="17"/>
              </w:rPr>
              <w:t>Cognitec</w:t>
            </w:r>
            <w:proofErr w:type="spellEnd"/>
            <w:r>
              <w:rPr>
                <w:sz w:val="17"/>
                <w:szCs w:val="17"/>
              </w:rPr>
              <w:t xml:space="preserve">; </w:t>
            </w:r>
            <w:proofErr w:type="spellStart"/>
            <w:r>
              <w:rPr>
                <w:sz w:val="17"/>
                <w:szCs w:val="17"/>
              </w:rPr>
              <w:t>REstore</w:t>
            </w:r>
            <w:proofErr w:type="spellEnd"/>
            <w:r>
              <w:rPr>
                <w:sz w:val="17"/>
                <w:szCs w:val="17"/>
              </w:rPr>
              <w:t xml:space="preserve">; </w:t>
            </w:r>
            <w:proofErr w:type="spellStart"/>
            <w:r>
              <w:rPr>
                <w:sz w:val="17"/>
                <w:szCs w:val="17"/>
              </w:rPr>
              <w:t>tado</w:t>
            </w:r>
            <w:proofErr w:type="spellEnd"/>
            <w:r>
              <w:rPr>
                <w:sz w:val="17"/>
                <w:szCs w:val="17"/>
              </w:rPr>
              <w:t>°</w:t>
            </w:r>
          </w:p>
        </w:tc>
        <w:tc>
          <w:tcPr>
            <w:tcW w:w="5325"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2216DB3A" w14:textId="77777777">
            <w:r>
              <w:rPr>
                <w:sz w:val="17"/>
                <w:szCs w:val="17"/>
              </w:rPr>
              <w:t xml:space="preserve">Repositioning, </w:t>
            </w:r>
            <w:proofErr w:type="spellStart"/>
            <w:r>
              <w:rPr>
                <w:sz w:val="17"/>
                <w:szCs w:val="17"/>
              </w:rPr>
              <w:t>monetisation</w:t>
            </w:r>
            <w:proofErr w:type="spellEnd"/>
            <w:r>
              <w:rPr>
                <w:sz w:val="17"/>
                <w:szCs w:val="17"/>
              </w:rPr>
              <w:t xml:space="preserve"> and revenue-model change</w:t>
            </w:r>
          </w:p>
        </w:tc>
      </w:tr>
      <w:tr w14:paraId="3733FE59" w14:textId="77777777">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281DCAFF" w14:textId="77777777">
            <w:r>
              <w:rPr>
                <w:b/>
                <w:bCs/>
                <w:sz w:val="17"/>
                <w:szCs w:val="17"/>
              </w:rPr>
              <w:t>Portfolio value creation</w:t>
            </w:r>
          </w:p>
        </w:tc>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1A016E95" w14:textId="77777777">
            <w:r>
              <w:rPr>
                <w:sz w:val="17"/>
                <w:szCs w:val="17"/>
              </w:rPr>
              <w:t xml:space="preserve">Board advisory case; </w:t>
            </w:r>
            <w:proofErr w:type="spellStart"/>
            <w:r>
              <w:rPr>
                <w:sz w:val="17"/>
                <w:szCs w:val="17"/>
              </w:rPr>
              <w:t>Leadec</w:t>
            </w:r>
            <w:proofErr w:type="spellEnd"/>
            <w:r>
              <w:rPr>
                <w:sz w:val="17"/>
                <w:szCs w:val="17"/>
              </w:rPr>
              <w:t xml:space="preserve">; BSH; </w:t>
            </w:r>
            <w:proofErr w:type="spellStart"/>
            <w:r>
              <w:rPr>
                <w:sz w:val="17"/>
                <w:szCs w:val="17"/>
              </w:rPr>
              <w:t>tado</w:t>
            </w:r>
            <w:proofErr w:type="spellEnd"/>
            <w:r>
              <w:rPr>
                <w:sz w:val="17"/>
                <w:szCs w:val="17"/>
              </w:rPr>
              <w:t>°</w:t>
            </w:r>
          </w:p>
        </w:tc>
        <w:tc>
          <w:tcPr>
            <w:tcW w:w="5325"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43FC0AB8" w14:textId="77777777">
            <w:r>
              <w:rPr>
                <w:sz w:val="17"/>
                <w:szCs w:val="17"/>
              </w:rPr>
              <w:t>Resource allocation, growth planning, M&amp;A and channel expansion</w:t>
            </w:r>
          </w:p>
        </w:tc>
      </w:tr>
      <w:tr w14:paraId="14254E21" w14:textId="77777777">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60B17D70" w14:textId="77777777">
            <w:r>
              <w:rPr>
                <w:b/>
                <w:bCs/>
                <w:sz w:val="17"/>
                <w:szCs w:val="17"/>
              </w:rPr>
              <w:t>Sector thesis development</w:t>
            </w:r>
          </w:p>
        </w:tc>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14261B1D" w14:textId="77777777">
            <w:proofErr w:type="spellStart"/>
            <w:r>
              <w:rPr>
                <w:sz w:val="17"/>
                <w:szCs w:val="17"/>
              </w:rPr>
              <w:t>Aidome</w:t>
            </w:r>
            <w:proofErr w:type="spellEnd"/>
            <w:r>
              <w:rPr>
                <w:sz w:val="17"/>
                <w:szCs w:val="17"/>
              </w:rPr>
              <w:t>; Santander; Bryan Garnier</w:t>
            </w:r>
          </w:p>
        </w:tc>
        <w:tc>
          <w:tcPr>
            <w:tcW w:w="5325"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14EAF0D1" w14:textId="77777777">
            <w:r>
              <w:rPr>
                <w:sz w:val="17"/>
                <w:szCs w:val="17"/>
              </w:rPr>
              <w:t>Emerging themes translated into investable opportunities</w:t>
            </w:r>
          </w:p>
        </w:tc>
      </w:tr>
      <w:tr w14:paraId="1EE9D86E" w14:textId="77777777">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76331769" w14:textId="77777777">
            <w:r>
              <w:rPr>
                <w:b/>
                <w:bCs/>
                <w:sz w:val="17"/>
                <w:szCs w:val="17"/>
              </w:rPr>
              <w:t>Selected M&amp;A</w:t>
            </w:r>
          </w:p>
        </w:tc>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211605AA" w14:textId="77777777">
            <w:proofErr w:type="spellStart"/>
            <w:r>
              <w:rPr>
                <w:sz w:val="17"/>
                <w:szCs w:val="17"/>
              </w:rPr>
              <w:t>Leadec</w:t>
            </w:r>
            <w:proofErr w:type="spellEnd"/>
            <w:r>
              <w:rPr>
                <w:sz w:val="17"/>
                <w:szCs w:val="17"/>
              </w:rPr>
              <w:t xml:space="preserve">; BSH; </w:t>
            </w:r>
            <w:proofErr w:type="spellStart"/>
            <w:r>
              <w:rPr>
                <w:sz w:val="17"/>
                <w:szCs w:val="17"/>
              </w:rPr>
              <w:t>Cognitec</w:t>
            </w:r>
            <w:proofErr w:type="spellEnd"/>
            <w:r>
              <w:rPr>
                <w:sz w:val="17"/>
                <w:szCs w:val="17"/>
              </w:rPr>
              <w:t xml:space="preserve">; </w:t>
            </w:r>
            <w:proofErr w:type="spellStart"/>
            <w:r>
              <w:rPr>
                <w:sz w:val="17"/>
                <w:szCs w:val="17"/>
              </w:rPr>
              <w:t>REstore</w:t>
            </w:r>
            <w:proofErr w:type="spellEnd"/>
          </w:p>
        </w:tc>
        <w:tc>
          <w:tcPr>
            <w:tcW w:w="5325"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64E42199" w14:textId="77777777">
            <w:r>
              <w:rPr>
                <w:sz w:val="17"/>
                <w:szCs w:val="17"/>
              </w:rPr>
              <w:t>Buy/build decisions, strategic fit and transaction execution</w:t>
            </w:r>
          </w:p>
        </w:tc>
      </w:tr>
      <w:tr w14:paraId="3875BE64" w14:textId="77777777">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0C20B261" w14:textId="77777777">
            <w:r>
              <w:rPr>
                <w:b/>
                <w:bCs/>
                <w:sz w:val="17"/>
                <w:szCs w:val="17"/>
              </w:rPr>
              <w:t>Capital strategy</w:t>
            </w:r>
          </w:p>
        </w:tc>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5D67F27A" w14:textId="77777777">
            <w:proofErr w:type="spellStart"/>
            <w:r>
              <w:rPr>
                <w:sz w:val="17"/>
                <w:szCs w:val="17"/>
              </w:rPr>
              <w:t>Univers</w:t>
            </w:r>
            <w:proofErr w:type="spellEnd"/>
            <w:r>
              <w:rPr>
                <w:sz w:val="17"/>
                <w:szCs w:val="17"/>
              </w:rPr>
              <w:t xml:space="preserve">; </w:t>
            </w:r>
            <w:proofErr w:type="spellStart"/>
            <w:r>
              <w:rPr>
                <w:sz w:val="17"/>
                <w:szCs w:val="17"/>
              </w:rPr>
              <w:t>tado</w:t>
            </w:r>
            <w:proofErr w:type="spellEnd"/>
            <w:r>
              <w:rPr>
                <w:sz w:val="17"/>
                <w:szCs w:val="17"/>
              </w:rPr>
              <w:t xml:space="preserve">°; </w:t>
            </w:r>
            <w:proofErr w:type="spellStart"/>
            <w:r>
              <w:rPr>
                <w:sz w:val="17"/>
                <w:szCs w:val="17"/>
              </w:rPr>
              <w:t>QiO</w:t>
            </w:r>
            <w:proofErr w:type="spellEnd"/>
            <w:r>
              <w:rPr>
                <w:sz w:val="17"/>
                <w:szCs w:val="17"/>
              </w:rPr>
              <w:t xml:space="preserve">; </w:t>
            </w:r>
            <w:proofErr w:type="spellStart"/>
            <w:r>
              <w:rPr>
                <w:sz w:val="17"/>
                <w:szCs w:val="17"/>
              </w:rPr>
              <w:t>Exasol</w:t>
            </w:r>
            <w:proofErr w:type="spellEnd"/>
          </w:p>
        </w:tc>
        <w:tc>
          <w:tcPr>
            <w:tcW w:w="5325"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77CE17D8" w14:textId="77777777">
            <w:r>
              <w:rPr>
                <w:sz w:val="17"/>
                <w:szCs w:val="17"/>
              </w:rPr>
              <w:t>Debt/equity choice, runway, dilution and investor positioning</w:t>
            </w:r>
          </w:p>
        </w:tc>
      </w:tr>
      <w:tr w14:paraId="69D2B8C5" w14:textId="77777777">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1815E529" w14:textId="77777777">
            <w:r>
              <w:rPr>
                <w:b/>
                <w:bCs/>
                <w:sz w:val="17"/>
                <w:szCs w:val="17"/>
              </w:rPr>
              <w:t>Founder / CEO engagement</w:t>
            </w:r>
          </w:p>
        </w:tc>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1B051FC7" w14:textId="77777777">
            <w:proofErr w:type="spellStart"/>
            <w:r>
              <w:rPr>
                <w:sz w:val="17"/>
                <w:szCs w:val="17"/>
              </w:rPr>
              <w:t>QiO</w:t>
            </w:r>
            <w:proofErr w:type="spellEnd"/>
            <w:r>
              <w:rPr>
                <w:sz w:val="17"/>
                <w:szCs w:val="17"/>
              </w:rPr>
              <w:t xml:space="preserve">; </w:t>
            </w:r>
            <w:proofErr w:type="spellStart"/>
            <w:r>
              <w:rPr>
                <w:sz w:val="17"/>
                <w:szCs w:val="17"/>
              </w:rPr>
              <w:t>tado</w:t>
            </w:r>
            <w:proofErr w:type="spellEnd"/>
            <w:r>
              <w:rPr>
                <w:sz w:val="17"/>
                <w:szCs w:val="17"/>
              </w:rPr>
              <w:t xml:space="preserve">°; </w:t>
            </w:r>
            <w:proofErr w:type="spellStart"/>
            <w:r>
              <w:rPr>
                <w:sz w:val="17"/>
                <w:szCs w:val="17"/>
              </w:rPr>
              <w:t>Cognitec</w:t>
            </w:r>
            <w:proofErr w:type="spellEnd"/>
            <w:r>
              <w:rPr>
                <w:sz w:val="17"/>
                <w:szCs w:val="17"/>
              </w:rPr>
              <w:t>; Board advisory case</w:t>
            </w:r>
          </w:p>
        </w:tc>
        <w:tc>
          <w:tcPr>
            <w:tcW w:w="5325"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2EA0CC84" w14:textId="77777777">
            <w:r>
              <w:rPr>
                <w:sz w:val="17"/>
                <w:szCs w:val="17"/>
              </w:rPr>
              <w:t>Direct challenge and influence with senior management</w:t>
            </w:r>
          </w:p>
        </w:tc>
      </w:tr>
      <w:tr w14:paraId="3A8590B5" w14:textId="77777777">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54074F15" w14:textId="77777777">
            <w:r>
              <w:rPr>
                <w:b/>
                <w:bCs/>
                <w:sz w:val="17"/>
                <w:szCs w:val="17"/>
              </w:rPr>
              <w:t>Cross-functional execution</w:t>
            </w:r>
          </w:p>
        </w:tc>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3771B996" w14:textId="77777777">
            <w:proofErr w:type="spellStart"/>
            <w:r>
              <w:rPr>
                <w:sz w:val="17"/>
                <w:szCs w:val="17"/>
              </w:rPr>
              <w:t>Univers</w:t>
            </w:r>
            <w:proofErr w:type="spellEnd"/>
            <w:r>
              <w:rPr>
                <w:sz w:val="17"/>
                <w:szCs w:val="17"/>
              </w:rPr>
              <w:t xml:space="preserve">; </w:t>
            </w:r>
            <w:proofErr w:type="spellStart"/>
            <w:r>
              <w:rPr>
                <w:sz w:val="17"/>
                <w:szCs w:val="17"/>
              </w:rPr>
              <w:t>Leadec</w:t>
            </w:r>
            <w:proofErr w:type="spellEnd"/>
            <w:r>
              <w:rPr>
                <w:sz w:val="17"/>
                <w:szCs w:val="17"/>
              </w:rPr>
              <w:t>; BSH</w:t>
            </w:r>
          </w:p>
        </w:tc>
        <w:tc>
          <w:tcPr>
            <w:tcW w:w="5325"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20E98AFB" w14:textId="77777777">
            <w:r>
              <w:rPr>
                <w:sz w:val="17"/>
                <w:szCs w:val="17"/>
              </w:rPr>
              <w:t>Management, lenders, advisers, buyers and committees</w:t>
            </w:r>
          </w:p>
        </w:tc>
      </w:tr>
      <w:tr w14:paraId="7BFA44A2" w14:textId="77777777">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310D3B35" w14:textId="77777777">
            <w:r>
              <w:rPr>
                <w:b/>
                <w:bCs/>
                <w:sz w:val="17"/>
                <w:szCs w:val="17"/>
              </w:rPr>
              <w:t>Risk discipline</w:t>
            </w:r>
          </w:p>
        </w:tc>
        <w:tc>
          <w:tcPr>
            <w:tcW w:w="2458"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63A536B8" w14:textId="77777777">
            <w:proofErr w:type="spellStart"/>
            <w:r>
              <w:rPr>
                <w:sz w:val="17"/>
                <w:szCs w:val="17"/>
              </w:rPr>
              <w:t>Univers</w:t>
            </w:r>
            <w:proofErr w:type="spellEnd"/>
            <w:r>
              <w:rPr>
                <w:sz w:val="17"/>
                <w:szCs w:val="17"/>
              </w:rPr>
              <w:t>; discontinued / rejected-offer mandates</w:t>
            </w:r>
          </w:p>
        </w:tc>
        <w:tc>
          <w:tcPr>
            <w:tcW w:w="5325" w:type="dxa"/>
            <w:tcBorders>
              <w:top w:val="single" w:sz="3" w:space="0" w:color="999999"/>
              <w:left w:val="none" w:sz="0" w:space="0" w:color="FFFFFF"/>
              <w:bottom w:val="single" w:sz="3" w:space="0" w:color="999999"/>
              <w:right w:val="none" w:sz="0" w:space="0" w:color="FFFFFF"/>
            </w:tcBorders>
            <w:tcMar>
              <w:top w:w="100" w:type="dxa"/>
              <w:left w:w="120" w:type="dxa"/>
              <w:bottom w:w="100" w:type="dxa"/>
              <w:right w:w="120" w:type="dxa"/>
            </w:tcMar>
          </w:tcPr>
          <w:p w14:paraId="54312236" w14:textId="77777777">
            <w:r>
              <w:rPr>
                <w:sz w:val="17"/>
                <w:szCs w:val="17"/>
              </w:rPr>
              <w:t>Downside protection and willingness to stop when economics do not clear</w:t>
            </w:r>
          </w:p>
        </w:tc>
      </w:tr>
    </w:tbl>
    <w:p w14:paraId="2AE2C9C0" w14:textId="77777777">
      <w:pPr>
        <w:pBdr>
          <w:bottom w:val="single" w:sz="8" w:space="4" w:color="000000"/>
        </w:pBdr>
        <w:spacing w:before="340" w:after="160"/>
        <w:rPr>
          <w:b/>
          <w:bCs/>
          <w:spacing w:val="6"/>
          <w:sz w:val="22"/>
          <w:szCs w:val="22"/>
        </w:rPr>
      </w:pPr>
    </w:p>
    <w:p w14:paraId="36E6D6D3" w14:textId="77777777">
      <w:pPr>
        <w:pBdr>
          <w:bottom w:val="single" w:sz="8" w:space="4" w:color="000000"/>
        </w:pBdr>
        <w:spacing w:before="340" w:after="160"/>
        <w:rPr>
          <w:b/>
          <w:bCs/>
          <w:spacing w:val="6"/>
          <w:sz w:val="22"/>
          <w:szCs w:val="22"/>
        </w:rPr>
      </w:pPr>
    </w:p>
    <w:p w14:paraId="4B2804F2" w14:textId="59629B26">
      <w:pPr>
        <w:pBdr>
          <w:bottom w:val="single" w:sz="8" w:space="4" w:color="000000"/>
        </w:pBdr>
        <w:spacing w:before="340" w:after="160"/>
      </w:pPr>
      <w:r>
        <w:rPr>
          <w:b/>
          <w:bCs/>
          <w:spacing w:val="6"/>
          <w:sz w:val="22"/>
          <w:szCs w:val="22"/>
        </w:rPr>
        <w:lastRenderedPageBreak/>
        <w:t>CORE CASE BANK</w:t>
      </w:r>
    </w:p>
    <w:p w14:paraId="595288C3" w14:textId="77777777">
      <w:pPr>
        <w:keepNext/>
        <w:spacing w:before="260" w:after="40"/>
      </w:pPr>
      <w:r>
        <w:rPr>
          <w:b/>
          <w:bCs/>
          <w:sz w:val="21"/>
          <w:szCs w:val="21"/>
        </w:rPr>
        <w:t xml:space="preserve">1. </w:t>
      </w:r>
      <w:proofErr w:type="spellStart"/>
      <w:r>
        <w:rPr>
          <w:b/>
          <w:bCs/>
          <w:sz w:val="21"/>
          <w:szCs w:val="21"/>
        </w:rPr>
        <w:t>Univers</w:t>
      </w:r>
      <w:proofErr w:type="spellEnd"/>
      <w:r>
        <w:rPr>
          <w:b/>
          <w:bCs/>
          <w:sz w:val="21"/>
          <w:szCs w:val="21"/>
        </w:rPr>
        <w:t xml:space="preserve"> | $50m growth debt</w:t>
      </w:r>
    </w:p>
    <w:p w14:paraId="4E557A4E" w14:textId="77777777">
      <w:pPr>
        <w:keepNext/>
        <w:spacing w:after="140"/>
      </w:pPr>
      <w:r>
        <w:rPr>
          <w:i/>
          <w:iCs/>
          <w:color w:val="555555"/>
          <w:sz w:val="17"/>
          <w:szCs w:val="17"/>
        </w:rPr>
        <w:t>Investment underwriting, downside structuring and committee recommendation</w:t>
      </w:r>
    </w:p>
    <w:p w14:paraId="4041D788" w14:textId="77777777">
      <w:pPr>
        <w:spacing w:after="160" w:line="264" w:lineRule="auto"/>
      </w:pPr>
      <w:proofErr w:type="spellStart"/>
      <w:r>
        <w:t>Univers</w:t>
      </w:r>
      <w:proofErr w:type="spellEnd"/>
      <w:r>
        <w:t xml:space="preserve"> was a high-growth energy-IoT business moving from device and data revenues towards a more recurring software model. The financing story looked attractive at first glance, but the revenue mix still carried meaningful hardware exposure, with different margin, working-capital and cash-conversion characteristics. That created a gap between the equity valuation narrative and the company's ability to support a large growth loan from operating cash flow.</w:t>
      </w:r>
    </w:p>
    <w:p w14:paraId="38F6440A" w14:textId="77777777">
      <w:pPr>
        <w:spacing w:after="160" w:line="264" w:lineRule="auto"/>
      </w:pPr>
      <w:r>
        <w:t xml:space="preserve">I worked directly with the CFO on </w:t>
      </w:r>
      <w:proofErr w:type="gramStart"/>
      <w:r>
        <w:t>the commercial</w:t>
      </w:r>
      <w:proofErr w:type="gramEnd"/>
      <w:r>
        <w:t xml:space="preserve"> and financial diligence, challenged the operating plan and asked for the business plan to be rebuilt around a more realistic revenue and liquidity view. We tested revenue quality, gross-margin mix, working capital, cash conversion and future funding needs, then ran base, upside and downside cases to see how much debt the business could carry under less </w:t>
      </w:r>
      <w:proofErr w:type="spellStart"/>
      <w:r>
        <w:t>favourable</w:t>
      </w:r>
      <w:proofErr w:type="spellEnd"/>
      <w:r>
        <w:t xml:space="preserve"> outcomes.</w:t>
      </w:r>
    </w:p>
    <w:p w14:paraId="5A9CFFFC" w14:textId="77777777">
      <w:pPr>
        <w:spacing w:after="160" w:line="264" w:lineRule="auto"/>
      </w:pPr>
      <w:r>
        <w:t xml:space="preserve">The conclusion was that a conventional unsecured facility left too </w:t>
      </w:r>
      <w:proofErr w:type="gramStart"/>
      <w:r>
        <w:t>much downside</w:t>
      </w:r>
      <w:proofErr w:type="gramEnd"/>
      <w:r>
        <w:t xml:space="preserve"> risk. I led the risk assessment and the committee materials, setting out the valuation mismatch, repayment capacity, sensitivities and the protections required to make the financing work. I then presented the case to the internal committee.</w:t>
      </w:r>
    </w:p>
    <w:p w14:paraId="541543E8" w14:textId="77777777">
      <w:pPr>
        <w:spacing w:after="160" w:line="264" w:lineRule="auto"/>
      </w:pPr>
      <w:r>
        <w:t xml:space="preserve">The solution was a structured growth-debt facility with a put against the parent, giving the lender an additional source of repayment while allowing </w:t>
      </w:r>
      <w:proofErr w:type="spellStart"/>
      <w:r>
        <w:t>Univers</w:t>
      </w:r>
      <w:proofErr w:type="spellEnd"/>
      <w:r>
        <w:t xml:space="preserve"> to extend runway without resetting the equity value at an unattractive point in the cycle.</w:t>
      </w:r>
    </w:p>
    <w:p w14:paraId="4EDB018F" w14:textId="77777777">
      <w:pPr>
        <w:spacing w:line="264" w:lineRule="auto"/>
      </w:pPr>
      <w:r>
        <w:rPr>
          <w:b/>
          <w:bCs/>
        </w:rPr>
        <w:t xml:space="preserve">Result: </w:t>
      </w:r>
      <w:proofErr w:type="spellStart"/>
      <w:r>
        <w:t>Univers</w:t>
      </w:r>
      <w:proofErr w:type="spellEnd"/>
      <w:r>
        <w:t xml:space="preserve"> secured a $50m growth-debt facility with parent-linked downside protection, preserving liquidity and future equity flexibility.</w:t>
      </w:r>
    </w:p>
    <w:p w14:paraId="42D7A277" w14:textId="77777777">
      <w:pPr>
        <w:keepNext/>
        <w:spacing w:before="260" w:after="40"/>
      </w:pPr>
      <w:r>
        <w:rPr>
          <w:b/>
          <w:bCs/>
          <w:sz w:val="21"/>
          <w:szCs w:val="21"/>
        </w:rPr>
        <w:t xml:space="preserve">2. </w:t>
      </w:r>
      <w:proofErr w:type="spellStart"/>
      <w:r>
        <w:rPr>
          <w:b/>
          <w:bCs/>
          <w:sz w:val="21"/>
          <w:szCs w:val="21"/>
        </w:rPr>
        <w:t>Netwrix</w:t>
      </w:r>
      <w:proofErr w:type="spellEnd"/>
      <w:r>
        <w:rPr>
          <w:b/>
          <w:bCs/>
          <w:sz w:val="21"/>
          <w:szCs w:val="21"/>
        </w:rPr>
        <w:t xml:space="preserve"> | acquisition financing</w:t>
      </w:r>
    </w:p>
    <w:p w14:paraId="65808F10" w14:textId="77777777">
      <w:pPr>
        <w:keepNext/>
        <w:spacing w:after="140"/>
      </w:pPr>
      <w:r>
        <w:rPr>
          <w:i/>
          <w:iCs/>
          <w:color w:val="555555"/>
          <w:sz w:val="17"/>
          <w:szCs w:val="17"/>
        </w:rPr>
        <w:t>Buy-and-build underwriting, valuation and value-creation assessment</w:t>
      </w:r>
    </w:p>
    <w:p w14:paraId="0FFD3EDE" w14:textId="77777777">
      <w:pPr>
        <w:spacing w:after="160" w:line="264" w:lineRule="auto"/>
      </w:pPr>
      <w:proofErr w:type="spellStart"/>
      <w:r>
        <w:t>Netwrix</w:t>
      </w:r>
      <w:proofErr w:type="spellEnd"/>
      <w:r>
        <w:t xml:space="preserve"> was a sponsor-backed cybersecurity software platform using acquisitions to consolidate a fragmented market. The work went beyond asking whether there was enough debt capacity for another deal. The more important issue was whether the target genuinely improved the combined business and justified the additional leverage.</w:t>
      </w:r>
    </w:p>
    <w:p w14:paraId="01618D44" w14:textId="77777777">
      <w:pPr>
        <w:spacing w:after="160" w:line="264" w:lineRule="auto"/>
      </w:pPr>
      <w:r>
        <w:t xml:space="preserve">I assessed the target's market position, recurring-revenue quality, customer concentration, margins, growth profile and strategic fit within </w:t>
      </w:r>
      <w:proofErr w:type="spellStart"/>
      <w:r>
        <w:t>Netwrix's</w:t>
      </w:r>
      <w:proofErr w:type="spellEnd"/>
      <w:r>
        <w:t xml:space="preserve"> broader consolidation strategy. That included asking whether the asset added capabilities, expanded the addressable market or improved competitive positioning in a way that could support further market consolidation.</w:t>
      </w:r>
    </w:p>
    <w:p w14:paraId="1675092D" w14:textId="77777777">
      <w:pPr>
        <w:spacing w:after="160" w:line="264" w:lineRule="auto"/>
      </w:pPr>
      <w:r>
        <w:t>I led the valuation and acquisition-economics work, testing the purchase price against revenue quality, growth, margins, expected synergies and sustainable cash generation. Combined operating and cash-flow models covered retention, cross-sell, cost and revenue synergies, integration costs, leverage and deleveraging. We also ran downside cases to see what happened if growth, retention or synergy assumptions fell short.</w:t>
      </w:r>
    </w:p>
    <w:p w14:paraId="22EDC1EB" w14:textId="77777777">
      <w:pPr>
        <w:spacing w:after="160" w:line="264" w:lineRule="auto"/>
      </w:pPr>
      <w:r>
        <w:t xml:space="preserve">My role was to form a view on the quality of the asset, its strategic value to </w:t>
      </w:r>
      <w:proofErr w:type="spellStart"/>
      <w:r>
        <w:t>Netwrix</w:t>
      </w:r>
      <w:proofErr w:type="spellEnd"/>
      <w:r>
        <w:t xml:space="preserve"> and whether the purchase price and financing structure were supported by the underlying economics. I then translated the analysis into the acquisition-financing underwrite and Santander recommendation, including the main value drivers, integration risks, leverage implications and conditions required for the transaction to create rather than dilute value.</w:t>
      </w:r>
    </w:p>
    <w:p w14:paraId="163506B0" w14:textId="77777777">
      <w:pPr>
        <w:spacing w:line="264" w:lineRule="auto"/>
      </w:pPr>
      <w:r>
        <w:rPr>
          <w:b/>
          <w:bCs/>
        </w:rPr>
        <w:t xml:space="preserve">Result: </w:t>
      </w:r>
      <w:r>
        <w:t>Supported the underwriting decision on a sponsor-backed cybersecurity acquisition by linking strategic fit and valuation to recurring-revenue quality, cash generation and downside resilience.</w:t>
      </w:r>
    </w:p>
    <w:p w14:paraId="0B4E5383" w14:textId="77777777">
      <w:pPr>
        <w:keepNext/>
        <w:spacing w:before="260" w:after="40"/>
      </w:pPr>
      <w:r>
        <w:rPr>
          <w:b/>
          <w:bCs/>
          <w:sz w:val="21"/>
          <w:szCs w:val="21"/>
        </w:rPr>
        <w:t xml:space="preserve">3. </w:t>
      </w:r>
      <w:proofErr w:type="spellStart"/>
      <w:r>
        <w:rPr>
          <w:b/>
          <w:bCs/>
          <w:sz w:val="21"/>
          <w:szCs w:val="21"/>
        </w:rPr>
        <w:t>Cognitec</w:t>
      </w:r>
      <w:proofErr w:type="spellEnd"/>
      <w:r>
        <w:rPr>
          <w:b/>
          <w:bCs/>
          <w:sz w:val="21"/>
          <w:szCs w:val="21"/>
        </w:rPr>
        <w:t xml:space="preserve"> | strategic sale to SALTO Systems</w:t>
      </w:r>
    </w:p>
    <w:p w14:paraId="56E681F2" w14:textId="77777777">
      <w:pPr>
        <w:keepNext/>
        <w:spacing w:after="140"/>
      </w:pPr>
      <w:r>
        <w:rPr>
          <w:i/>
          <w:iCs/>
          <w:color w:val="555555"/>
          <w:sz w:val="17"/>
          <w:szCs w:val="17"/>
        </w:rPr>
        <w:t>Business-model repositioning, recurring revenue and strategic buyer development</w:t>
      </w:r>
    </w:p>
    <w:p w14:paraId="64140FB2" w14:textId="77777777">
      <w:pPr>
        <w:spacing w:after="160" w:line="264" w:lineRule="auto"/>
      </w:pPr>
      <w:proofErr w:type="spellStart"/>
      <w:r>
        <w:t>Cognitec</w:t>
      </w:r>
      <w:proofErr w:type="spellEnd"/>
      <w:r>
        <w:t xml:space="preserve"> had state-of-the-art facial-recognition technology and historically sold large systems to airports, security providers and other institutional customers. </w:t>
      </w:r>
      <w:proofErr w:type="gramStart"/>
      <w:r>
        <w:t>The technology</w:t>
      </w:r>
      <w:proofErr w:type="gramEnd"/>
      <w:r>
        <w:t xml:space="preserve"> remained </w:t>
      </w:r>
      <w:proofErr w:type="gramStart"/>
      <w:r>
        <w:t>strong, but</w:t>
      </w:r>
      <w:proofErr w:type="gramEnd"/>
      <w:r>
        <w:t xml:space="preserve"> growth had slowed, revenue depended heavily on </w:t>
      </w:r>
      <w:proofErr w:type="spellStart"/>
      <w:r>
        <w:t>licence</w:t>
      </w:r>
      <w:proofErr w:type="spellEnd"/>
      <w:r>
        <w:t xml:space="preserve"> sales and long contracting cycles, and the market was shifting towards broader access-control and identity platforms. Valuation had fallen with the commercial model, even though the underlying IP was still attractive.</w:t>
      </w:r>
    </w:p>
    <w:p w14:paraId="70AAFBAC" w14:textId="77777777">
      <w:pPr>
        <w:spacing w:after="160" w:line="264" w:lineRule="auto"/>
      </w:pPr>
      <w:r>
        <w:t xml:space="preserve">I viewed it as a fallen-angel situation: a good technology asset whose market and business model had moved on. Working with management, we looked for adjacent markets where the same technology could solve a clearer problem </w:t>
      </w:r>
      <w:r>
        <w:lastRenderedPageBreak/>
        <w:t xml:space="preserve">and support a more repeatable revenue model. One white space was smaller casinos, which needed biometric access and security but could not justify </w:t>
      </w:r>
      <w:proofErr w:type="spellStart"/>
      <w:r>
        <w:t>Cognitec's</w:t>
      </w:r>
      <w:proofErr w:type="spellEnd"/>
      <w:r>
        <w:t xml:space="preserve"> traditional c.$100,000 installations.</w:t>
      </w:r>
    </w:p>
    <w:p w14:paraId="6A85F7C8" w14:textId="77777777">
      <w:pPr>
        <w:spacing w:after="160" w:line="264" w:lineRule="auto"/>
      </w:pPr>
      <w:r>
        <w:t xml:space="preserve">We developed a lighter monthly hardware-and-services proposition and outsourced installation, lowering the upfront cost for customers and reducing the dependence on bespoke high-ticket projects. At the same time, I assessed addressable markets and alternative use cases, developed acquisition cases and mapped buyer groups that could combine </w:t>
      </w:r>
      <w:proofErr w:type="spellStart"/>
      <w:r>
        <w:t>Cognitec's</w:t>
      </w:r>
      <w:proofErr w:type="spellEnd"/>
      <w:r>
        <w:t xml:space="preserve"> algorithms with an installed access-control base and existing distribution.</w:t>
      </w:r>
    </w:p>
    <w:p w14:paraId="307FAF10" w14:textId="77777777">
      <w:pPr>
        <w:spacing w:after="160" w:line="264" w:lineRule="auto"/>
      </w:pPr>
      <w:r>
        <w:t xml:space="preserve">That work changed the story from a slowing facial-recognition vendor to a broader biometric access-management business with recurring-revenue potential. It also made the strategic fit much clearer for SALTO Systems, which had a large installed base in electronic locks and access management but could use </w:t>
      </w:r>
      <w:proofErr w:type="spellStart"/>
      <w:r>
        <w:t>Cognitec's</w:t>
      </w:r>
      <w:proofErr w:type="spellEnd"/>
      <w:r>
        <w:t xml:space="preserve"> algorithms to add a stronger biometric layer.</w:t>
      </w:r>
    </w:p>
    <w:p w14:paraId="2D6BD8DF" w14:textId="77777777">
      <w:pPr>
        <w:spacing w:line="264" w:lineRule="auto"/>
      </w:pPr>
      <w:r>
        <w:rPr>
          <w:b/>
          <w:bCs/>
        </w:rPr>
        <w:t xml:space="preserve">Result: </w:t>
      </w:r>
      <w:r>
        <w:t xml:space="preserve">The process produced five qualified bidders, three of which entered diligence, and </w:t>
      </w:r>
      <w:proofErr w:type="spellStart"/>
      <w:r>
        <w:t>Cognitec</w:t>
      </w:r>
      <w:proofErr w:type="spellEnd"/>
      <w:r>
        <w:t xml:space="preserve"> was ultimately sold to SALTO Systems at approximately 7x ARR.</w:t>
      </w:r>
    </w:p>
    <w:p w14:paraId="1D6BB79C" w14:textId="77777777">
      <w:pPr>
        <w:keepNext/>
        <w:spacing w:before="260" w:after="40"/>
      </w:pPr>
      <w:r>
        <w:rPr>
          <w:b/>
          <w:bCs/>
          <w:sz w:val="21"/>
          <w:szCs w:val="21"/>
        </w:rPr>
        <w:t xml:space="preserve">4. </w:t>
      </w:r>
      <w:proofErr w:type="spellStart"/>
      <w:r>
        <w:rPr>
          <w:b/>
          <w:bCs/>
          <w:sz w:val="21"/>
          <w:szCs w:val="21"/>
        </w:rPr>
        <w:t>REstore</w:t>
      </w:r>
      <w:proofErr w:type="spellEnd"/>
      <w:r>
        <w:rPr>
          <w:b/>
          <w:bCs/>
          <w:sz w:val="21"/>
          <w:szCs w:val="21"/>
        </w:rPr>
        <w:t xml:space="preserve"> | €70m sale to Centrica</w:t>
      </w:r>
    </w:p>
    <w:p w14:paraId="486F91EB" w14:textId="77777777">
      <w:pPr>
        <w:keepNext/>
        <w:spacing w:after="140"/>
      </w:pPr>
      <w:r>
        <w:rPr>
          <w:i/>
          <w:iCs/>
          <w:color w:val="555555"/>
          <w:sz w:val="17"/>
          <w:szCs w:val="17"/>
        </w:rPr>
        <w:t>Business-model clarification, revenue segmentation and strategic repositioning</w:t>
      </w:r>
    </w:p>
    <w:p w14:paraId="7B3DD1B0" w14:textId="77777777">
      <w:pPr>
        <w:spacing w:after="160" w:line="264" w:lineRule="auto"/>
      </w:pPr>
      <w:proofErr w:type="spellStart"/>
      <w:r>
        <w:t>REstore</w:t>
      </w:r>
      <w:proofErr w:type="spellEnd"/>
      <w:r>
        <w:t xml:space="preserve"> had patented demand-response technology that could monitor and control distributed energy assets and aggregate them into virtual power plants. Over time the company also moved into VPP operations and energy trading across European markets. That breadth made the business difficult to read: software, energy-management services and trading revenues were </w:t>
      </w:r>
      <w:proofErr w:type="gramStart"/>
      <w:r>
        <w:t>mixed together</w:t>
      </w:r>
      <w:proofErr w:type="gramEnd"/>
      <w:r>
        <w:t>, and many investors saw a services-heavy energy business rather than a differentiated technology platform.</w:t>
      </w:r>
    </w:p>
    <w:p w14:paraId="0DA24DAB" w14:textId="77777777">
      <w:pPr>
        <w:spacing w:after="160" w:line="264" w:lineRule="auto"/>
      </w:pPr>
      <w:r>
        <w:t xml:space="preserve">I spent roughly three months with management working through the business model and value proposition, then worked with the company and its accounting advisers to separate and reconcile the revenue streams. Once the economics were laid out properly, the picture was much clearer. The higher-value core was the software platform used by commercial and industrial customers to monitor consumption, control equipment and </w:t>
      </w:r>
      <w:proofErr w:type="spellStart"/>
      <w:r>
        <w:t>optimise</w:t>
      </w:r>
      <w:proofErr w:type="spellEnd"/>
      <w:r>
        <w:t xml:space="preserve"> demand; VPP aggregation and trading sat around it but had different economics.</w:t>
      </w:r>
    </w:p>
    <w:p w14:paraId="268A4EFF" w14:textId="77777777">
      <w:pPr>
        <w:spacing w:after="160" w:line="264" w:lineRule="auto"/>
      </w:pPr>
      <w:r>
        <w:t xml:space="preserve">That distinction changed the investment story. We repositioned </w:t>
      </w:r>
      <w:proofErr w:type="spellStart"/>
      <w:r>
        <w:t>REstore</w:t>
      </w:r>
      <w:proofErr w:type="spellEnd"/>
      <w:r>
        <w:t xml:space="preserve"> around its software, algorithms, patented IP and ability to manage distributed industrial energy assets, rather than around energy trading. I then mapped strategic buyers that could make more of the technology than a standalone investor could.</w:t>
      </w:r>
    </w:p>
    <w:p w14:paraId="2305571E" w14:textId="77777777">
      <w:pPr>
        <w:spacing w:after="160" w:line="264" w:lineRule="auto"/>
      </w:pPr>
      <w:r>
        <w:t xml:space="preserve">European utilities were a natural fit because they already served large portfolios of commercial and industrial customers. Centrica </w:t>
      </w:r>
      <w:proofErr w:type="gramStart"/>
      <w:r>
        <w:t>in particular could</w:t>
      </w:r>
      <w:proofErr w:type="gramEnd"/>
      <w:r>
        <w:t xml:space="preserve"> roll </w:t>
      </w:r>
      <w:proofErr w:type="spellStart"/>
      <w:r>
        <w:t>REstore's</w:t>
      </w:r>
      <w:proofErr w:type="spellEnd"/>
      <w:r>
        <w:t xml:space="preserve"> technology across that customer base and use it to support demand-response, energy-saving and flexibility products. The value therefore included not only </w:t>
      </w:r>
      <w:proofErr w:type="spellStart"/>
      <w:r>
        <w:t>REstore's</w:t>
      </w:r>
      <w:proofErr w:type="spellEnd"/>
      <w:r>
        <w:t xml:space="preserve"> standalone revenue but the new services and synergies the technology could unlock for the acquirer.</w:t>
      </w:r>
    </w:p>
    <w:p w14:paraId="1EEBE282" w14:textId="77777777">
      <w:pPr>
        <w:spacing w:line="264" w:lineRule="auto"/>
      </w:pPr>
      <w:r>
        <w:rPr>
          <w:b/>
          <w:bCs/>
        </w:rPr>
        <w:t xml:space="preserve">Result: </w:t>
      </w:r>
      <w:proofErr w:type="spellStart"/>
      <w:r>
        <w:t>REstore</w:t>
      </w:r>
      <w:proofErr w:type="spellEnd"/>
      <w:r>
        <w:t xml:space="preserve"> was acquired by Centrica for €70m at more than 6x last-financial-year revenue, following a repositioning that made the software/IP economics and strategic value much easier for buyers to understand.</w:t>
      </w:r>
    </w:p>
    <w:p w14:paraId="5A5D4913" w14:textId="77777777">
      <w:pPr>
        <w:keepNext/>
        <w:spacing w:before="260" w:after="40"/>
      </w:pPr>
      <w:r>
        <w:rPr>
          <w:b/>
          <w:bCs/>
          <w:sz w:val="21"/>
          <w:szCs w:val="21"/>
        </w:rPr>
        <w:t xml:space="preserve">5. </w:t>
      </w:r>
      <w:proofErr w:type="spellStart"/>
      <w:r>
        <w:rPr>
          <w:b/>
          <w:bCs/>
          <w:sz w:val="21"/>
          <w:szCs w:val="21"/>
        </w:rPr>
        <w:t>QiO</w:t>
      </w:r>
      <w:proofErr w:type="spellEnd"/>
      <w:r>
        <w:rPr>
          <w:b/>
          <w:bCs/>
          <w:sz w:val="21"/>
          <w:szCs w:val="21"/>
        </w:rPr>
        <w:t xml:space="preserve"> | $10m growth capital</w:t>
      </w:r>
    </w:p>
    <w:p w14:paraId="47C9526A" w14:textId="77777777">
      <w:pPr>
        <w:keepNext/>
        <w:spacing w:after="140"/>
      </w:pPr>
      <w:r>
        <w:rPr>
          <w:i/>
          <w:iCs/>
          <w:color w:val="555555"/>
          <w:sz w:val="17"/>
          <w:szCs w:val="17"/>
        </w:rPr>
        <w:t>Product-market-fit reset, cost discipline and financing readiness</w:t>
      </w:r>
    </w:p>
    <w:p w14:paraId="116B97A9" w14:textId="77777777">
      <w:pPr>
        <w:spacing w:after="160" w:line="264" w:lineRule="auto"/>
      </w:pPr>
      <w:proofErr w:type="spellStart"/>
      <w:r>
        <w:t>QiO</w:t>
      </w:r>
      <w:proofErr w:type="spellEnd"/>
      <w:r>
        <w:t xml:space="preserve"> was a UK industrial-IoT company founded by former Invensys executives. It had good technology and credible customers, but early on it had chased too many sectors at the same time. The result was heavy </w:t>
      </w:r>
      <w:proofErr w:type="spellStart"/>
      <w:r>
        <w:t>customisation</w:t>
      </w:r>
      <w:proofErr w:type="spellEnd"/>
      <w:r>
        <w:t>, a high burn rate and a broad horizontal proposition that made product-market fit difficult for investors to underwrite.</w:t>
      </w:r>
    </w:p>
    <w:p w14:paraId="67A5D821" w14:textId="77777777">
      <w:pPr>
        <w:spacing w:after="160" w:line="264" w:lineRule="auto"/>
      </w:pPr>
      <w:r>
        <w:t>The CEO initially asked me to help raise capital. My view was that fundraising was not the first problem: the business needed to become more focused and investable. We reviewed the customer base and recommended stepping away from low-value accounts that consumed disproportionate engineering and management time. The two areas with the strongest evidence were automotive and industrial customers, including Rolls-Royce and Jaguar Land Rover, and the faster-growing data-</w:t>
      </w:r>
      <w:proofErr w:type="spellStart"/>
      <w:r>
        <w:t>centre</w:t>
      </w:r>
      <w:proofErr w:type="spellEnd"/>
      <w:r>
        <w:t xml:space="preserve"> market.</w:t>
      </w:r>
    </w:p>
    <w:p w14:paraId="60614A7F" w14:textId="77777777">
      <w:pPr>
        <w:spacing w:after="160" w:line="264" w:lineRule="auto"/>
      </w:pPr>
      <w:r>
        <w:t>The data-</w:t>
      </w:r>
      <w:proofErr w:type="spellStart"/>
      <w:r>
        <w:t>centre</w:t>
      </w:r>
      <w:proofErr w:type="spellEnd"/>
      <w:r>
        <w:t xml:space="preserve"> opportunity also forced a product decision. </w:t>
      </w:r>
      <w:proofErr w:type="spellStart"/>
      <w:r>
        <w:t>QiO</w:t>
      </w:r>
      <w:proofErr w:type="spellEnd"/>
      <w:r>
        <w:t xml:space="preserve"> had been tailoring deployments too heavily for individual customers, so I worked with management to </w:t>
      </w:r>
      <w:proofErr w:type="spellStart"/>
      <w:r>
        <w:t>standardise</w:t>
      </w:r>
      <w:proofErr w:type="spellEnd"/>
      <w:r>
        <w:t xml:space="preserve"> the proposition around a more repeatable, configurable product. That reduced implementation complexity and gave investors a more credible route to scale.</w:t>
      </w:r>
    </w:p>
    <w:p w14:paraId="0F73C22E" w14:textId="77777777">
      <w:pPr>
        <w:spacing w:after="160" w:line="264" w:lineRule="auto"/>
      </w:pPr>
      <w:r>
        <w:lastRenderedPageBreak/>
        <w:t xml:space="preserve">At the same time, cash was tight. Management reduced the cost base sharply, and I developed a downside liquidity case designed to preserve about 13 months of runway plus a buffer. I stayed involved over the next six months, setting up weekly sessions around customer development, pipeline, execution and cash discipline while the </w:t>
      </w:r>
      <w:proofErr w:type="gramStart"/>
      <w:r>
        <w:t>company built</w:t>
      </w:r>
      <w:proofErr w:type="gramEnd"/>
      <w:r>
        <w:t xml:space="preserve"> proof behind the new strategy.</w:t>
      </w:r>
    </w:p>
    <w:p w14:paraId="66ED2298" w14:textId="77777777">
      <w:pPr>
        <w:spacing w:after="160" w:line="264" w:lineRule="auto"/>
      </w:pPr>
      <w:r>
        <w:t xml:space="preserve">We started sounding investors as the company won early customers in the repositioned segments. By then the story was very different: a leaner business, a more </w:t>
      </w:r>
      <w:proofErr w:type="spellStart"/>
      <w:r>
        <w:t>standardised</w:t>
      </w:r>
      <w:proofErr w:type="spellEnd"/>
      <w:r>
        <w:t xml:space="preserve"> product, clearer product-market fit and a focused thesis around data-</w:t>
      </w:r>
      <w:proofErr w:type="spellStart"/>
      <w:r>
        <w:t>centre</w:t>
      </w:r>
      <w:proofErr w:type="spellEnd"/>
      <w:r>
        <w:t xml:space="preserve"> efficiency and infrastructure </w:t>
      </w:r>
      <w:proofErr w:type="spellStart"/>
      <w:r>
        <w:t>optimisation</w:t>
      </w:r>
      <w:proofErr w:type="spellEnd"/>
      <w:r>
        <w:t xml:space="preserve"> rather than a horizontal IoT platform looking for a market.</w:t>
      </w:r>
    </w:p>
    <w:p w14:paraId="325510CA" w14:textId="77777777">
      <w:pPr>
        <w:spacing w:line="264" w:lineRule="auto"/>
      </w:pPr>
      <w:r>
        <w:rPr>
          <w:b/>
          <w:bCs/>
        </w:rPr>
        <w:t xml:space="preserve">Result: </w:t>
      </w:r>
      <w:r>
        <w:t>The repositioned investment case supported a $10m growth-capital raise and gave the company a clearer basis for commercial execution and scale.</w:t>
      </w:r>
    </w:p>
    <w:p w14:paraId="0471DA9F" w14:textId="77777777">
      <w:pPr>
        <w:keepNext/>
        <w:spacing w:before="260" w:after="40"/>
      </w:pPr>
      <w:r>
        <w:rPr>
          <w:b/>
          <w:bCs/>
          <w:sz w:val="21"/>
          <w:szCs w:val="21"/>
        </w:rPr>
        <w:t>6. Technology-enabled analytics &amp; advisory business | Board advisory</w:t>
      </w:r>
    </w:p>
    <w:p w14:paraId="1EDCB2F2" w14:textId="77777777">
      <w:pPr>
        <w:keepNext/>
        <w:spacing w:after="140"/>
      </w:pPr>
      <w:r>
        <w:rPr>
          <w:i/>
          <w:iCs/>
          <w:color w:val="555555"/>
          <w:sz w:val="17"/>
          <w:szCs w:val="17"/>
        </w:rPr>
        <w:t>Turnaround, resource allocation and commercial reset</w:t>
      </w:r>
    </w:p>
    <w:p w14:paraId="13C9B5B3" w14:textId="77777777">
      <w:pPr>
        <w:spacing w:after="160" w:line="264" w:lineRule="auto"/>
      </w:pPr>
      <w:r>
        <w:t>The technology-enabled analytics and advisory business had grown for several years before post-2023 market compression led to the loss of several large clients and roughly 45% of revenue. I was asked to provide board-level advisory support to help determine how much of the decline was cyclical and how much reflected a deeper change in the market.</w:t>
      </w:r>
    </w:p>
    <w:p w14:paraId="3C4C47F4" w14:textId="77777777">
      <w:pPr>
        <w:spacing w:after="160" w:line="264" w:lineRule="auto"/>
      </w:pPr>
      <w:r>
        <w:t xml:space="preserve">We reviewed the economics and competitive position of the main service lines. Lower-value research work was becoming harder to defend as pricing came under pressure and AI and automation reduced the value of </w:t>
      </w:r>
      <w:proofErr w:type="spellStart"/>
      <w:r>
        <w:t>labour-intensive</w:t>
      </w:r>
      <w:proofErr w:type="spellEnd"/>
      <w:r>
        <w:t xml:space="preserve"> output. I supported management in reducing exposure to that work and redirecting people and attention towards transaction support, valuation and higher-value analytical services where the company had better differentiation and pricing power.</w:t>
      </w:r>
    </w:p>
    <w:p w14:paraId="557130C2" w14:textId="77777777">
      <w:pPr>
        <w:spacing w:after="160" w:line="264" w:lineRule="auto"/>
      </w:pPr>
      <w:r>
        <w:t xml:space="preserve">The market was only part of the problem. I asked the CEO and management team to carry out a detailed review of the sales </w:t>
      </w:r>
      <w:proofErr w:type="spellStart"/>
      <w:r>
        <w:t>organisation</w:t>
      </w:r>
      <w:proofErr w:type="spellEnd"/>
      <w:r>
        <w:t>, including call logs, customer contact, account follow-up, pipeline activity and CRM entries. The exercise exposed inconsistent sales activity, weak pipeline visibility and poor CRM discipline.</w:t>
      </w:r>
    </w:p>
    <w:p w14:paraId="72686980" w14:textId="77777777">
      <w:pPr>
        <w:spacing w:after="160" w:line="264" w:lineRule="auto"/>
      </w:pPr>
      <w:r>
        <w:t xml:space="preserve">I </w:t>
      </w:r>
      <w:proofErr w:type="gramStart"/>
      <w:r>
        <w:t>recommended</w:t>
      </w:r>
      <w:proofErr w:type="gramEnd"/>
      <w:r>
        <w:t xml:space="preserve"> a reset of the sales team and reporting process, with clearer ownership of accounts, tighter pipeline management, more consistent CRM usage and better management reporting. In parallel, we kept reviewing where resources should sit so that the business was not simply trying to rebuild the old revenue base but was moving towards the segments with better economics.</w:t>
      </w:r>
    </w:p>
    <w:p w14:paraId="2AA44A57" w14:textId="77777777">
      <w:pPr>
        <w:spacing w:line="264" w:lineRule="auto"/>
      </w:pPr>
      <w:r>
        <w:rPr>
          <w:b/>
          <w:bCs/>
        </w:rPr>
        <w:t xml:space="preserve">Result: </w:t>
      </w:r>
      <w:r>
        <w:t xml:space="preserve">The turnaround </w:t>
      </w:r>
      <w:proofErr w:type="spellStart"/>
      <w:r>
        <w:t>programme</w:t>
      </w:r>
      <w:proofErr w:type="spellEnd"/>
      <w:r>
        <w:t xml:space="preserve"> </w:t>
      </w:r>
      <w:proofErr w:type="gramStart"/>
      <w:r>
        <w:t>is targeting</w:t>
      </w:r>
      <w:proofErr w:type="gramEnd"/>
      <w:r>
        <w:t xml:space="preserve"> approximately 20-25% revenue improvement while improving revenue quality, commercial discipline and the defensibility of the business.</w:t>
      </w:r>
    </w:p>
    <w:p w14:paraId="7BC4A260" w14:textId="77777777">
      <w:pPr>
        <w:keepNext/>
        <w:spacing w:before="260" w:after="40"/>
      </w:pPr>
      <w:r>
        <w:rPr>
          <w:b/>
          <w:bCs/>
          <w:sz w:val="21"/>
          <w:szCs w:val="21"/>
        </w:rPr>
        <w:t xml:space="preserve">7. </w:t>
      </w:r>
      <w:proofErr w:type="spellStart"/>
      <w:r>
        <w:rPr>
          <w:b/>
          <w:bCs/>
          <w:sz w:val="21"/>
          <w:szCs w:val="21"/>
        </w:rPr>
        <w:t>Leadec</w:t>
      </w:r>
      <w:proofErr w:type="spellEnd"/>
      <w:r>
        <w:rPr>
          <w:b/>
          <w:bCs/>
          <w:sz w:val="21"/>
          <w:szCs w:val="21"/>
        </w:rPr>
        <w:t xml:space="preserve"> | industrial IoT corporate development</w:t>
      </w:r>
    </w:p>
    <w:p w14:paraId="4196349C" w14:textId="77777777">
      <w:pPr>
        <w:keepNext/>
        <w:spacing w:after="140"/>
      </w:pPr>
      <w:r>
        <w:rPr>
          <w:i/>
          <w:iCs/>
          <w:color w:val="555555"/>
          <w:sz w:val="17"/>
          <w:szCs w:val="17"/>
        </w:rPr>
        <w:t>Build / partner / buy framework, target screening and transaction structuring</w:t>
      </w:r>
    </w:p>
    <w:p w14:paraId="3A6D28B4" w14:textId="77777777">
      <w:pPr>
        <w:spacing w:after="160" w:line="264" w:lineRule="auto"/>
      </w:pPr>
      <w:proofErr w:type="spellStart"/>
      <w:r>
        <w:t>Leadec</w:t>
      </w:r>
      <w:proofErr w:type="spellEnd"/>
      <w:r>
        <w:t xml:space="preserve">, a German industrial-services provider, wanted to move beyond traditional </w:t>
      </w:r>
      <w:proofErr w:type="spellStart"/>
      <w:r>
        <w:t>labour-intensive</w:t>
      </w:r>
      <w:proofErr w:type="spellEnd"/>
      <w:r>
        <w:t xml:space="preserve"> services into higher-value capabilities such as industrial IoT, monitoring, automation and smart manufacturing. The company understood its industrial customers </w:t>
      </w:r>
      <w:proofErr w:type="gramStart"/>
      <w:r>
        <w:t>well, but</w:t>
      </w:r>
      <w:proofErr w:type="gramEnd"/>
      <w:r>
        <w:t xml:space="preserve"> had less experience assessing </w:t>
      </w:r>
      <w:proofErr w:type="gramStart"/>
      <w:r>
        <w:t>startups</w:t>
      </w:r>
      <w:proofErr w:type="gramEnd"/>
      <w:r>
        <w:t xml:space="preserve"> and growth companies where technology risk, business-model quality and valuation looked very different from traditional industrial assets.</w:t>
      </w:r>
    </w:p>
    <w:p w14:paraId="08BF47AD" w14:textId="77777777">
      <w:pPr>
        <w:spacing w:after="160" w:line="264" w:lineRule="auto"/>
      </w:pPr>
      <w:r>
        <w:t xml:space="preserve">I was engaged by the Head of Corporate Development on an outsourced corporate-development mandate. Over roughly 12 months, I worked with the internal team to translate the strategy into a practical capability roadmap: what </w:t>
      </w:r>
      <w:proofErr w:type="spellStart"/>
      <w:r>
        <w:t>Leadec</w:t>
      </w:r>
      <w:proofErr w:type="spellEnd"/>
      <w:r>
        <w:t xml:space="preserve"> needed to build itself, where partnership made sense, and which gaps were important enough to justify </w:t>
      </w:r>
      <w:proofErr w:type="gramStart"/>
      <w:r>
        <w:t>an acquisition</w:t>
      </w:r>
      <w:proofErr w:type="gramEnd"/>
      <w:r>
        <w:t>.</w:t>
      </w:r>
    </w:p>
    <w:p w14:paraId="2D2D79DC" w14:textId="77777777">
      <w:pPr>
        <w:spacing w:after="160" w:line="264" w:lineRule="auto"/>
      </w:pPr>
      <w:r>
        <w:t>We developed a build / partner / buy framework covering strategic importance, technology maturity, differentiation, customer relevance, integration difficulty, speed to market and capital needs. That was then converted into an acquisition thesis and screening criteria. We built and qualified a 50+ company universe across industrial IoT and smart manufacturing, assessing strategic fit, recurring-revenue potential, customer concentration, scalability and acquisition economics.</w:t>
      </w:r>
    </w:p>
    <w:p w14:paraId="44A8C7BC" w14:textId="77777777">
      <w:pPr>
        <w:spacing w:after="160" w:line="264" w:lineRule="auto"/>
      </w:pPr>
      <w:proofErr w:type="gramStart"/>
      <w:r>
        <w:t>A recurring</w:t>
      </w:r>
      <w:proofErr w:type="gramEnd"/>
      <w:r>
        <w:t xml:space="preserve"> issue was valuation. Many of the relevant businesses were venture- or growth-backed and expected multiples that looked high through a traditional industrial-services lens. I worked with management on valuation and deal structures that could bridge those gaps without taking all the risk upfront, including earn-outs, seller notes and rollover equity. The work also left </w:t>
      </w:r>
      <w:proofErr w:type="spellStart"/>
      <w:r>
        <w:t>Leadec</w:t>
      </w:r>
      <w:proofErr w:type="spellEnd"/>
      <w:r>
        <w:t xml:space="preserve"> with a repeatable process for market mapping and technology-company assessment rather than a one-off target list.</w:t>
      </w:r>
    </w:p>
    <w:p w14:paraId="1A0356D5" w14:textId="77777777">
      <w:pPr>
        <w:spacing w:line="264" w:lineRule="auto"/>
      </w:pPr>
      <w:r>
        <w:rPr>
          <w:b/>
          <w:bCs/>
        </w:rPr>
        <w:lastRenderedPageBreak/>
        <w:t xml:space="preserve">Result: </w:t>
      </w:r>
      <w:r>
        <w:t xml:space="preserve">Two acquisitions were completed, adding IoT-enabled capabilities and supporting </w:t>
      </w:r>
      <w:proofErr w:type="spellStart"/>
      <w:r>
        <w:t>Leadec's</w:t>
      </w:r>
      <w:proofErr w:type="spellEnd"/>
      <w:r>
        <w:t xml:space="preserve"> longer-term move towards technology-enabled industrial services.</w:t>
      </w:r>
    </w:p>
    <w:p w14:paraId="0D26F390" w14:textId="0D1104E7">
      <w:pPr>
        <w:keepNext/>
        <w:spacing w:before="260" w:after="40"/>
      </w:pPr>
      <w:r>
        <w:rPr>
          <w:b/>
          <w:bCs/>
          <w:sz w:val="21"/>
          <w:szCs w:val="21"/>
        </w:rPr>
        <w:t xml:space="preserve">8. BSH | </w:t>
      </w:r>
      <w:r>
        <w:rPr>
          <w:b/>
          <w:bCs/>
          <w:sz w:val="21"/>
          <w:szCs w:val="21"/>
        </w:rPr>
        <w:t>Investment advisory</w:t>
      </w:r>
    </w:p>
    <w:p w14:paraId="2A5A880C" w14:textId="77777777">
      <w:pPr>
        <w:keepNext/>
        <w:spacing w:after="140"/>
      </w:pPr>
      <w:r>
        <w:rPr>
          <w:i/>
          <w:iCs/>
          <w:color w:val="555555"/>
          <w:sz w:val="17"/>
          <w:szCs w:val="17"/>
        </w:rPr>
        <w:t>Strategic adjacency, target mapping and buy-versus-build decision support</w:t>
      </w:r>
    </w:p>
    <w:p w14:paraId="6E21F8B1" w14:textId="77777777">
      <w:pPr>
        <w:spacing w:after="160" w:line="264" w:lineRule="auto"/>
      </w:pPr>
      <w:r>
        <w:t>BSH was looking at how connected-home services and digital consumer propositions could extend the customer relationship beyond the one-off appliance sale. The challenge was to turn a broad interest in the smart home into a manageable set of strategic adjacencies and acquisition priorities.</w:t>
      </w:r>
    </w:p>
    <w:p w14:paraId="284E9151" w14:textId="77777777">
      <w:pPr>
        <w:spacing w:after="160" w:line="264" w:lineRule="auto"/>
      </w:pPr>
      <w:r>
        <w:t>I helped define the areas where BSH could build internally and where acquiring an external capability would move faster. We translated that into an acquisition thesis, built a cross-border target universe and narrowed it to roughly 30-40 priority opportunities using strategic fit, capability and market criteria.</w:t>
      </w:r>
    </w:p>
    <w:p w14:paraId="6929A35F" w14:textId="77777777">
      <w:pPr>
        <w:spacing w:after="160" w:line="264" w:lineRule="auto"/>
      </w:pPr>
      <w:r>
        <w:t>Kitchen Stories emerged as one of the relevant digital-consumer assets. The acquisition gave BSH a direct content and consumer-engagement channel and extended the group beyond the traditional appliance relationship.</w:t>
      </w:r>
    </w:p>
    <w:p w14:paraId="7D6D5045" w14:textId="77777777">
      <w:pPr>
        <w:spacing w:line="264" w:lineRule="auto"/>
      </w:pPr>
      <w:r>
        <w:rPr>
          <w:b/>
          <w:bCs/>
        </w:rPr>
        <w:t xml:space="preserve">Result: </w:t>
      </w:r>
      <w:r>
        <w:t>The corporate-development work supported BSH's acquisition of Kitchen Stories and provided a structured way to evaluate connected-home and smart-kitchen adjacencies.</w:t>
      </w:r>
    </w:p>
    <w:p w14:paraId="65AD6252" w14:textId="77777777">
      <w:pPr>
        <w:keepNext/>
        <w:spacing w:before="260" w:after="40"/>
      </w:pPr>
      <w:r>
        <w:rPr>
          <w:b/>
          <w:bCs/>
          <w:sz w:val="21"/>
          <w:szCs w:val="21"/>
        </w:rPr>
        <w:t xml:space="preserve">9. </w:t>
      </w:r>
      <w:proofErr w:type="spellStart"/>
      <w:r>
        <w:rPr>
          <w:b/>
          <w:bCs/>
          <w:sz w:val="21"/>
          <w:szCs w:val="21"/>
        </w:rPr>
        <w:t>tado</w:t>
      </w:r>
      <w:proofErr w:type="spellEnd"/>
      <w:r>
        <w:rPr>
          <w:b/>
          <w:bCs/>
          <w:sz w:val="21"/>
          <w:szCs w:val="21"/>
        </w:rPr>
        <w:t>° | approximately €95m across two private placements</w:t>
      </w:r>
    </w:p>
    <w:p w14:paraId="47A1DC59" w14:textId="77777777">
      <w:pPr>
        <w:keepNext/>
        <w:spacing w:after="140"/>
      </w:pPr>
      <w:r>
        <w:rPr>
          <w:i/>
          <w:iCs/>
          <w:color w:val="555555"/>
          <w:sz w:val="17"/>
          <w:szCs w:val="17"/>
        </w:rPr>
        <w:t>Recurring-revenue evolution, international growth and capital strategy</w:t>
      </w:r>
    </w:p>
    <w:p w14:paraId="278F2623" w14:textId="77777777">
      <w:pPr>
        <w:spacing w:after="160" w:line="264" w:lineRule="auto"/>
      </w:pPr>
      <w:proofErr w:type="spellStart"/>
      <w:r>
        <w:t>tado</w:t>
      </w:r>
      <w:proofErr w:type="spellEnd"/>
      <w:r>
        <w:t>° was scaling a connected home-energy-management platform that still carried the economics of a hardware-led business while moving towards more recurring and repeatable revenues. That transition mattered both operationally and for valuation: investors needed to understand how pricing, customer economics, revenue visibility and margins would improve as the model evolved.</w:t>
      </w:r>
    </w:p>
    <w:p w14:paraId="39B6E475" w14:textId="77777777">
      <w:pPr>
        <w:spacing w:after="160" w:line="264" w:lineRule="auto"/>
      </w:pPr>
      <w:r>
        <w:t xml:space="preserve">I worked with management and shareholders on the business-model and equity story through successive capital rounds, keeping the valuation framework and investor narrative coherent as the company grew. I also supported geographic expansion through partnership-led rollouts, allowing </w:t>
      </w:r>
      <w:proofErr w:type="spellStart"/>
      <w:r>
        <w:t>tado</w:t>
      </w:r>
      <w:proofErr w:type="spellEnd"/>
      <w:r>
        <w:t>° to enter new markets through established channels rather than carrying the full fixed-cost burden of direct expansion.</w:t>
      </w:r>
    </w:p>
    <w:p w14:paraId="38672AE1" w14:textId="77777777">
      <w:pPr>
        <w:spacing w:after="160" w:line="264" w:lineRule="auto"/>
      </w:pPr>
      <w:r>
        <w:t>The financing strategy had to balance growth capital needs with dilution, runway and future optionality, while keeping the strategic story consistent across rounds.</w:t>
      </w:r>
    </w:p>
    <w:p w14:paraId="68E4D36D" w14:textId="77777777">
      <w:pPr>
        <w:spacing w:line="264" w:lineRule="auto"/>
      </w:pPr>
      <w:r>
        <w:rPr>
          <w:b/>
          <w:bCs/>
        </w:rPr>
        <w:t xml:space="preserve">Result: </w:t>
      </w:r>
      <w:r>
        <w:t>Approximately €95m was raised across two private placements, supporting product development, geographic expansion and the company's evolution towards a more recurring revenue model.</w:t>
      </w:r>
    </w:p>
    <w:p w14:paraId="2D8FE6B3" w14:textId="77777777">
      <w:pPr>
        <w:keepNext/>
        <w:spacing w:before="260" w:after="40"/>
      </w:pPr>
      <w:r>
        <w:rPr>
          <w:b/>
          <w:bCs/>
          <w:sz w:val="21"/>
          <w:szCs w:val="21"/>
        </w:rPr>
        <w:t xml:space="preserve">10. </w:t>
      </w:r>
      <w:proofErr w:type="spellStart"/>
      <w:r>
        <w:rPr>
          <w:b/>
          <w:bCs/>
          <w:sz w:val="21"/>
          <w:szCs w:val="21"/>
        </w:rPr>
        <w:t>Aidome</w:t>
      </w:r>
      <w:proofErr w:type="spellEnd"/>
      <w:r>
        <w:rPr>
          <w:b/>
          <w:bCs/>
          <w:sz w:val="21"/>
          <w:szCs w:val="21"/>
        </w:rPr>
        <w:t xml:space="preserve"> | $10m capital-raise mandate</w:t>
      </w:r>
    </w:p>
    <w:p w14:paraId="04921C4D" w14:textId="77777777">
      <w:pPr>
        <w:keepNext/>
        <w:spacing w:after="140"/>
      </w:pPr>
      <w:r>
        <w:rPr>
          <w:i/>
          <w:iCs/>
          <w:color w:val="555555"/>
          <w:sz w:val="17"/>
          <w:szCs w:val="17"/>
        </w:rPr>
        <w:t>AI-governance thesis, category positioning and investor development</w:t>
      </w:r>
    </w:p>
    <w:p w14:paraId="74545D15" w14:textId="77777777">
      <w:pPr>
        <w:spacing w:after="160" w:line="264" w:lineRule="auto"/>
      </w:pPr>
      <w:proofErr w:type="spellStart"/>
      <w:r>
        <w:t>Aidome</w:t>
      </w:r>
      <w:proofErr w:type="spellEnd"/>
      <w:r>
        <w:t xml:space="preserve"> sits in the emerging market for enterprise AI governance and control. As companies deploy generative AI, agents, models and external tools into regulated environments, the problem is shifting from model selection alone to who can control what the systems are allowed to do, what data they can access and how those decisions are governed.</w:t>
      </w:r>
    </w:p>
    <w:p w14:paraId="6383E7C9" w14:textId="77777777">
      <w:pPr>
        <w:spacing w:after="160" w:line="264" w:lineRule="auto"/>
      </w:pPr>
      <w:r>
        <w:t xml:space="preserve">I have worked with the company on the category thesis and investor positioning, mapping the competitive landscape and helping distinguish </w:t>
      </w:r>
      <w:proofErr w:type="spellStart"/>
      <w:r>
        <w:t>Aidome</w:t>
      </w:r>
      <w:proofErr w:type="spellEnd"/>
      <w:r>
        <w:t xml:space="preserve"> from generic cybersecurity and AI tooling. The investment case is being built around enterprise control of models, agents, tools and data, and around the regulatory and operational risks that arise as AI moves into production workflows.</w:t>
      </w:r>
    </w:p>
    <w:p w14:paraId="565FFF48" w14:textId="77777777">
      <w:pPr>
        <w:spacing w:after="160" w:line="264" w:lineRule="auto"/>
      </w:pPr>
      <w:r>
        <w:t>That work has also informed the investor universe and the way the company presents the category: not as another AI application, but as a control layer for enterprise AI adoption.</w:t>
      </w:r>
    </w:p>
    <w:p w14:paraId="3BD15143" w14:textId="77777777">
      <w:pPr>
        <w:spacing w:line="264" w:lineRule="auto"/>
      </w:pPr>
      <w:r>
        <w:rPr>
          <w:b/>
          <w:bCs/>
        </w:rPr>
        <w:t xml:space="preserve">Result: </w:t>
      </w:r>
      <w:r>
        <w:t xml:space="preserve">The work supports </w:t>
      </w:r>
      <w:proofErr w:type="gramStart"/>
      <w:r>
        <w:t>an</w:t>
      </w:r>
      <w:proofErr w:type="gramEnd"/>
      <w:r>
        <w:t xml:space="preserve"> ongoing $10m capital-raise mandate and provides current exposure to a frontier </w:t>
      </w:r>
      <w:proofErr w:type="gramStart"/>
      <w:r>
        <w:t>enterprise-software</w:t>
      </w:r>
      <w:proofErr w:type="gramEnd"/>
      <w:r>
        <w:t xml:space="preserve"> category.</w:t>
      </w:r>
    </w:p>
    <w:p w14:paraId="457F391C" w14:textId="505B46EC"/>
    <w:sectPr>
      <w:headerReference w:type="default" r:id="rId7"/>
      <w:footerReference w:type="default" r:id="rId8"/>
      <w:pgSz w:w="12240" w:h="15840"/>
      <w:pgMar w:top="1000" w:right="1000" w:bottom="10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B8FBF" w14:textId="77777777">
      <w:r>
        <w:separator/>
      </w:r>
    </w:p>
  </w:endnote>
  <w:endnote w:type="continuationSeparator" w:id="0">
    <w:p w14:paraId="030812A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E25BE" w14:textId="77777777">
    <w:pPr>
      <w:jc w:val="center"/>
    </w:pPr>
    <w:r>
      <w:rPr>
        <w:color w:val="555555"/>
        <w:sz w:val="14"/>
        <w:szCs w:val="14"/>
      </w:rPr>
      <w:t xml:space="preserve">Page </w:t>
    </w:r>
    <w:r>
      <w:rPr>
        <w:color w:val="555555"/>
        <w:sz w:val="14"/>
        <w:szCs w:val="14"/>
      </w:rPr>
      <w:fldChar w:fldCharType="begin"/>
    </w:r>
    <w:r>
      <w:rPr>
        <w:color w:val="555555"/>
        <w:sz w:val="14"/>
        <w:szCs w:val="14"/>
      </w:rPr>
      <w:instrText>PAGE</w:instrText>
    </w:r>
    <w:r>
      <w:rPr>
        <w:color w:val="555555"/>
        <w:sz w:val="14"/>
        <w:szCs w:val="14"/>
      </w:rPr>
      <w:fldChar w:fldCharType="separate"/>
    </w:r>
    <w:r>
      <w:rPr>
        <w:noProof/>
        <w:color w:val="555555"/>
        <w:sz w:val="14"/>
        <w:szCs w:val="14"/>
      </w:rPr>
      <w:t>1</w:t>
    </w:r>
    <w:r>
      <w:rPr>
        <w:color w:val="555555"/>
        <w:sz w:val="14"/>
        <w:szCs w:val="14"/>
      </w:rPr>
      <w:fldChar w:fldCharType="end"/>
    </w:r>
    <w:r>
      <w:rPr>
        <w:color w:val="555555"/>
        <w:sz w:val="14"/>
        <w:szCs w:val="14"/>
      </w:rPr>
      <w:t xml:space="preserve"> of </w:t>
    </w:r>
    <w:r>
      <w:rPr>
        <w:color w:val="555555"/>
        <w:sz w:val="14"/>
        <w:szCs w:val="14"/>
      </w:rPr>
      <w:fldChar w:fldCharType="begin"/>
    </w:r>
    <w:r>
      <w:rPr>
        <w:color w:val="555555"/>
        <w:sz w:val="14"/>
        <w:szCs w:val="14"/>
      </w:rPr>
      <w:instrText>NUMPAGES</w:instrText>
    </w:r>
    <w:r>
      <w:rPr>
        <w:color w:val="555555"/>
        <w:sz w:val="14"/>
        <w:szCs w:val="14"/>
      </w:rPr>
      <w:fldChar w:fldCharType="separate"/>
    </w:r>
    <w:r>
      <w:rPr>
        <w:noProof/>
        <w:color w:val="555555"/>
        <w:sz w:val="14"/>
        <w:szCs w:val="14"/>
      </w:rPr>
      <w:t>2</w:t>
    </w:r>
    <w:r>
      <w:rPr>
        <w:color w:val="555555"/>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BF2B7" w14:textId="77777777">
      <w:r>
        <w:separator/>
      </w:r>
    </w:p>
  </w:footnote>
  <w:footnote w:type="continuationSeparator" w:id="0">
    <w:p w14:paraId="37AF7CD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26AF3" w14:textId="77777777">
    <w:pPr>
      <w:pBdr>
        <w:bottom w:val="single" w:sz="4" w:space="4" w:color="999999"/>
      </w:pBdr>
      <w:jc w:val="right"/>
    </w:pPr>
    <w:r>
      <w:rPr>
        <w:color w:val="555555"/>
        <w:sz w:val="14"/>
        <w:szCs w:val="14"/>
      </w:rPr>
      <w:t>PRIYANSHU BHATTACHARYA | CASE EVIDENCE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84783"/>
    <w:multiLevelType w:val="hybridMultilevel"/>
    <w:tmpl w:val="5FA46B90"/>
    <w:lvl w:ilvl="0" w:tplc="E91A2F72">
      <w:start w:val="1"/>
      <w:numFmt w:val="bullet"/>
      <w:lvlText w:val="●"/>
      <w:lvlJc w:val="left"/>
      <w:pPr>
        <w:ind w:left="720" w:hanging="360"/>
      </w:pPr>
    </w:lvl>
    <w:lvl w:ilvl="1" w:tplc="AF641ECC">
      <w:start w:val="1"/>
      <w:numFmt w:val="bullet"/>
      <w:lvlText w:val="○"/>
      <w:lvlJc w:val="left"/>
      <w:pPr>
        <w:ind w:left="1440" w:hanging="360"/>
      </w:pPr>
    </w:lvl>
    <w:lvl w:ilvl="2" w:tplc="0284EC4A">
      <w:start w:val="1"/>
      <w:numFmt w:val="bullet"/>
      <w:lvlText w:val="■"/>
      <w:lvlJc w:val="left"/>
      <w:pPr>
        <w:ind w:left="2160" w:hanging="360"/>
      </w:pPr>
    </w:lvl>
    <w:lvl w:ilvl="3" w:tplc="5392A246">
      <w:start w:val="1"/>
      <w:numFmt w:val="bullet"/>
      <w:lvlText w:val="●"/>
      <w:lvlJc w:val="left"/>
      <w:pPr>
        <w:ind w:left="2880" w:hanging="360"/>
      </w:pPr>
    </w:lvl>
    <w:lvl w:ilvl="4" w:tplc="CD14EFAC">
      <w:start w:val="1"/>
      <w:numFmt w:val="bullet"/>
      <w:lvlText w:val="○"/>
      <w:lvlJc w:val="left"/>
      <w:pPr>
        <w:ind w:left="3600" w:hanging="360"/>
      </w:pPr>
    </w:lvl>
    <w:lvl w:ilvl="5" w:tplc="313C198C">
      <w:start w:val="1"/>
      <w:numFmt w:val="bullet"/>
      <w:lvlText w:val="■"/>
      <w:lvlJc w:val="left"/>
      <w:pPr>
        <w:ind w:left="4320" w:hanging="360"/>
      </w:pPr>
    </w:lvl>
    <w:lvl w:ilvl="6" w:tplc="90408AC6">
      <w:start w:val="1"/>
      <w:numFmt w:val="bullet"/>
      <w:lvlText w:val="●"/>
      <w:lvlJc w:val="left"/>
      <w:pPr>
        <w:ind w:left="5040" w:hanging="360"/>
      </w:pPr>
    </w:lvl>
    <w:lvl w:ilvl="7" w:tplc="66C04B30">
      <w:start w:val="1"/>
      <w:numFmt w:val="bullet"/>
      <w:lvlText w:val="●"/>
      <w:lvlJc w:val="left"/>
      <w:pPr>
        <w:ind w:left="5760" w:hanging="360"/>
      </w:pPr>
    </w:lvl>
    <w:lvl w:ilvl="8" w:tplc="E7122CCE">
      <w:start w:val="1"/>
      <w:numFmt w:val="bullet"/>
      <w:lvlText w:val="●"/>
      <w:lvlJc w:val="left"/>
      <w:pPr>
        <w:ind w:left="6480" w:hanging="360"/>
      </w:pPr>
    </w:lvl>
  </w:abstractNum>
  <w:num w:numId="1" w16cid:durableId="361224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2895</Words>
  <Characters>16505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coreProperties>
</file>